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8655B71" Type="http://schemas.openxmlformats.org/officeDocument/2006/relationships/officeDocument" Target="/word/document.xml" /><Relationship Id="coreR8655B71"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jc w:val="center"/>
        <w:rPr>
          <w:rFonts w:ascii="Times New Roman" w:hAnsi="Times New Roman"/>
          <w:b w:val="1"/>
          <w:sz w:val="28"/>
        </w:rPr>
      </w:pPr>
      <w:r>
        <w:rPr>
          <w:rFonts w:ascii="Times New Roman" w:hAnsi="Times New Roman"/>
          <w:b w:val="1"/>
          <w:sz w:val="32"/>
        </w:rPr>
        <w:t>Протокол про результати голосування</w:t>
      </w:r>
    </w:p>
    <w:p>
      <w:pPr>
        <w:spacing w:after="0" w:beforeAutospacing="0" w:afterAutospacing="0"/>
        <w:jc w:val="center"/>
        <w:rPr>
          <w:rFonts w:ascii="Times New Roman" w:hAnsi="Times New Roman"/>
          <w:sz w:val="24"/>
        </w:rPr>
      </w:pPr>
      <w:r>
        <w:rPr>
          <w:rFonts w:ascii="Times New Roman" w:hAnsi="Times New Roman"/>
          <w:sz w:val="24"/>
        </w:rPr>
        <w:t xml:space="preserve">на </w:t>
      </w:r>
      <w:r>
        <w:rPr>
          <w:rFonts w:ascii="Times New Roman" w:hAnsi="Times New Roman"/>
          <w:sz w:val="24"/>
          <w:lang w:val="en-US"/>
        </w:rPr>
        <w:t xml:space="preserve"> </w:t>
      </w:r>
      <w:r>
        <w:rPr>
          <w:rFonts w:ascii="Times New Roman" w:hAnsi="Times New Roman"/>
          <w:sz w:val="24"/>
          <w:lang w:val="ru-UA"/>
        </w:rPr>
        <w:t xml:space="preserve">зборах </w:t>
      </w:r>
      <w:r>
        <w:rPr>
          <w:rFonts w:ascii="Times New Roman" w:hAnsi="Times New Roman"/>
          <w:sz w:val="24"/>
        </w:rPr>
        <w:t>власників облігацій емітента</w:t>
      </w:r>
    </w:p>
    <w:p>
      <w:pPr>
        <w:spacing w:after="0" w:beforeAutospacing="0" w:afterAutospacing="0"/>
        <w:jc w:val="center"/>
        <w:rPr>
          <w:rFonts w:ascii="Times New Roman" w:hAnsi="Times New Roman"/>
          <w:i w:val="1"/>
          <w:sz w:val="24"/>
          <w:lang w:val="ru-RU"/>
        </w:rPr>
      </w:pPr>
      <w:bookmarkStart w:id="0" w:name="_Hlk71659140"/>
      <w:r>
        <w:rPr>
          <w:rFonts w:ascii="Times New Roman" w:hAnsi="Times New Roman"/>
          <w:i w:val="1"/>
          <w:sz w:val="24"/>
          <w:lang w:val="ru-RU"/>
        </w:rPr>
        <w:t>ТОВАРИСТВО З ОБМЕЖЕНОЮ ВІДПОВІДАЛЬНІСТЮ "ФІНАНСОВА КОМПАНІЯ "САПЛАЙ ЧЕЙН ФІНАНС"</w:t>
      </w:r>
    </w:p>
    <w:p>
      <w:pPr>
        <w:spacing w:after="0" w:beforeAutospacing="0" w:afterAutospacing="0"/>
        <w:jc w:val="center"/>
        <w:rPr>
          <w:rFonts w:ascii="Times New Roman" w:hAnsi="Times New Roman"/>
          <w:i w:val="1"/>
          <w:sz w:val="24"/>
          <w:lang w:val="ru-RU"/>
        </w:rPr>
      </w:pPr>
      <w:r>
        <w:rPr>
          <w:rFonts w:ascii="Times New Roman" w:hAnsi="Times New Roman"/>
          <w:sz w:val="24"/>
        </w:rPr>
        <w:t xml:space="preserve">(код за ЄДРПОУ </w:t>
      </w:r>
      <w:r>
        <w:rPr>
          <w:rFonts w:ascii="Times New Roman" w:hAnsi="Times New Roman"/>
          <w:i w:val="1"/>
          <w:sz w:val="24"/>
          <w:lang w:val="ru-RU"/>
        </w:rPr>
        <w:t>43603477</w:t>
      </w:r>
      <w:r>
        <w:rPr>
          <w:rFonts w:ascii="Times New Roman" w:hAnsi="Times New Roman"/>
          <w:i w:val="1"/>
          <w:sz w:val="24"/>
          <w:lang w:val="ru-RU"/>
        </w:rPr>
        <w:t xml:space="preserve">), які проведено через авторизовану електронну </w:t>
      </w:r>
    </w:p>
    <w:p>
      <w:pPr>
        <w:spacing w:after="0" w:beforeAutospacing="0" w:afterAutospacing="0"/>
        <w:jc w:val="center"/>
        <w:rPr>
          <w:rFonts w:ascii="Times New Roman" w:hAnsi="Times New Roman"/>
          <w:sz w:val="24"/>
          <w:lang w:val="ru-RU"/>
        </w:rPr>
      </w:pPr>
      <w:r>
        <w:rPr>
          <w:rFonts w:ascii="Times New Roman" w:hAnsi="Times New Roman"/>
          <w:i w:val="1"/>
          <w:sz w:val="24"/>
          <w:lang w:val="ru-RU"/>
        </w:rPr>
        <w:t>систему</w:t>
      </w:r>
    </w:p>
    <w:p>
      <w:pPr>
        <w:spacing w:after="0" w:beforeAutospacing="0" w:afterAutospacing="0"/>
        <w:jc w:val="center"/>
        <w:rPr>
          <w:rFonts w:ascii="Times New Roman" w:hAnsi="Times New Roman"/>
          <w:sz w:val="24"/>
          <w:lang w:val="en-US"/>
        </w:rPr>
      </w:pPr>
    </w:p>
    <w:p>
      <w:pPr>
        <w:spacing w:after="0" w:beforeAutospacing="0" w:afterAutospacing="0"/>
        <w:jc w:val="center"/>
        <w:rPr>
          <w:rFonts w:ascii="Times New Roman" w:hAnsi="Times New Roman"/>
          <w:sz w:val="24"/>
        </w:rPr>
      </w:pPr>
      <w:bookmarkEnd w:id="0"/>
    </w:p>
    <w:tbl>
      <w:tblPr>
        <w:tblStyle w:val="T2"/>
        <w:tblW w:w="0" w:type="auto"/>
        <w:tblBorders>
          <w:top w:val="nil" w:sz="0" w:space="0" w:shadow="0" w:frame="0" w:color="000000"/>
          <w:left w:val="nil" w:sz="0" w:space="0" w:shadow="0" w:frame="0" w:color="000000"/>
          <w:bottom w:val="nil" w:sz="0" w:space="0" w:shadow="0" w:frame="0" w:color="000000"/>
          <w:right w:val="nil" w:sz="0" w:space="0" w:shadow="0" w:frame="0" w:color="000000"/>
          <w:insideH w:val="nil" w:sz="0" w:space="0" w:shadow="0" w:frame="0" w:color="000000"/>
          <w:insideV w:val="nil" w:sz="0" w:space="0" w:shadow="0" w:frame="0" w:color="000000"/>
        </w:tblBorders>
        <w:tblLook w:val="04A0"/>
      </w:tblPr>
      <w:tblGrid/>
      <w:tr>
        <w:tc>
          <w:tcPr>
            <w:tcW w:w="5103" w:type="dxa"/>
          </w:tcPr>
          <w:p>
            <w:pPr>
              <w:rPr>
                <w:rFonts w:ascii="Times New Roman" w:hAnsi="Times New Roman"/>
                <w:sz w:val="24"/>
              </w:rPr>
            </w:pPr>
            <w:r>
              <w:rPr>
                <w:rFonts w:ascii="Times New Roman" w:hAnsi="Times New Roman"/>
                <w:sz w:val="24"/>
              </w:rPr>
              <w:t>Дата проведення зборів:</w:t>
            </w:r>
          </w:p>
        </w:tc>
        <w:tc>
          <w:tcPr>
            <w:tcW w:w="4526" w:type="dxa"/>
          </w:tcPr>
          <w:p>
            <w:pPr>
              <w:rPr>
                <w:rFonts w:ascii="Times New Roman" w:hAnsi="Times New Roman"/>
                <w:sz w:val="24"/>
              </w:rPr>
            </w:pPr>
            <w:r>
              <w:rPr>
                <w:rFonts w:ascii="Times New Roman" w:hAnsi="Times New Roman"/>
                <w:sz w:val="24"/>
                <w:lang w:val="en-US"/>
              </w:rPr>
              <w:t>11.09.2024</w:t>
            </w:r>
          </w:p>
        </w:tc>
      </w:tr>
      <w:tr>
        <w:tc>
          <w:tcPr>
            <w:tcW w:w="5103" w:type="dxa"/>
          </w:tcPr>
          <w:p>
            <w:pPr>
              <w:rPr>
                <w:rFonts w:ascii="Times New Roman" w:hAnsi="Times New Roman"/>
                <w:sz w:val="24"/>
              </w:rPr>
            </w:pPr>
          </w:p>
        </w:tc>
        <w:tc>
          <w:tcPr>
            <w:tcW w:w="4526" w:type="dxa"/>
          </w:tcPr>
          <w:p>
            <w:pPr>
              <w:rPr>
                <w:rFonts w:ascii="Times New Roman" w:hAnsi="Times New Roman"/>
                <w:sz w:val="24"/>
              </w:rPr>
            </w:pPr>
          </w:p>
        </w:tc>
      </w:tr>
      <w:tr>
        <w:tc>
          <w:tcPr>
            <w:tcW w:w="5103" w:type="dxa"/>
          </w:tcPr>
          <w:p>
            <w:pPr>
              <w:rPr>
                <w:rFonts w:ascii="Times New Roman" w:hAnsi="Times New Roman"/>
                <w:sz w:val="24"/>
              </w:rPr>
            </w:pPr>
            <w:r>
              <w:rPr>
                <w:rFonts w:ascii="Times New Roman" w:hAnsi="Times New Roman"/>
                <w:sz w:val="24"/>
              </w:rPr>
              <w:t>Дата та час початку реєстрації:</w:t>
            </w:r>
          </w:p>
        </w:tc>
        <w:tc>
          <w:tcPr>
            <w:tcW w:w="4526" w:type="dxa"/>
          </w:tcPr>
          <w:p>
            <w:pPr>
              <w:rPr>
                <w:rFonts w:ascii="Times New Roman" w:hAnsi="Times New Roman"/>
                <w:i w:val="1"/>
                <w:sz w:val="24"/>
                <w:lang w:val="en-US"/>
              </w:rPr>
            </w:pPr>
            <w:r>
              <w:rPr>
                <w:rFonts w:ascii="Times New Roman" w:hAnsi="Times New Roman"/>
                <w:i w:val="1"/>
                <w:sz w:val="24"/>
                <w:lang w:val="en-US"/>
              </w:rPr>
              <w:t>11.09.2024 10:00</w:t>
            </w:r>
          </w:p>
        </w:tc>
      </w:tr>
      <w:tr>
        <w:tc>
          <w:tcPr>
            <w:tcW w:w="5103" w:type="dxa"/>
          </w:tcPr>
          <w:p>
            <w:pPr>
              <w:rPr>
                <w:rFonts w:ascii="Times New Roman" w:hAnsi="Times New Roman"/>
                <w:sz w:val="24"/>
              </w:rPr>
            </w:pPr>
            <w:r>
              <w:rPr>
                <w:rFonts w:ascii="Times New Roman" w:hAnsi="Times New Roman"/>
                <w:sz w:val="24"/>
              </w:rPr>
              <w:t>Дата та час закінчення реєстрації:</w:t>
            </w:r>
          </w:p>
        </w:tc>
        <w:tc>
          <w:tcPr>
            <w:tcW w:w="4526" w:type="dxa"/>
          </w:tcPr>
          <w:p>
            <w:pPr>
              <w:rPr>
                <w:rFonts w:ascii="Times New Roman" w:hAnsi="Times New Roman"/>
                <w:i w:val="1"/>
                <w:sz w:val="24"/>
                <w:lang w:val="en-US"/>
              </w:rPr>
            </w:pPr>
            <w:r>
              <w:rPr>
                <w:rFonts w:ascii="Times New Roman" w:hAnsi="Times New Roman"/>
                <w:i w:val="1"/>
                <w:sz w:val="24"/>
                <w:lang w:val="en-US"/>
              </w:rPr>
              <w:t>11.09.2024 11:00</w:t>
            </w:r>
          </w:p>
        </w:tc>
      </w:tr>
      <w:tr>
        <w:tc>
          <w:tcPr>
            <w:tcW w:w="5103" w:type="dxa"/>
          </w:tcPr>
          <w:p>
            <w:pPr>
              <w:rPr>
                <w:rFonts w:ascii="Times New Roman" w:hAnsi="Times New Roman"/>
                <w:sz w:val="24"/>
              </w:rPr>
            </w:pPr>
          </w:p>
        </w:tc>
        <w:tc>
          <w:tcPr>
            <w:tcW w:w="4526" w:type="dxa"/>
          </w:tcPr>
          <w:p>
            <w:pPr>
              <w:rPr>
                <w:rFonts w:ascii="Times New Roman" w:hAnsi="Times New Roman"/>
                <w:i w:val="1"/>
                <w:sz w:val="24"/>
              </w:rPr>
            </w:pPr>
          </w:p>
        </w:tc>
      </w:tr>
      <w:tr>
        <w:tc>
          <w:tcPr>
            <w:tcW w:w="5103" w:type="dxa"/>
          </w:tcPr>
          <w:p>
            <w:pPr>
              <w:rPr>
                <w:rFonts w:ascii="Times New Roman" w:hAnsi="Times New Roman"/>
                <w:sz w:val="24"/>
              </w:rPr>
            </w:pPr>
            <w:r>
              <w:rPr>
                <w:rFonts w:ascii="Times New Roman" w:hAnsi="Times New Roman"/>
                <w:sz w:val="24"/>
              </w:rPr>
              <w:t>Дата та час початку голосування:</w:t>
            </w:r>
          </w:p>
        </w:tc>
        <w:tc>
          <w:tcPr>
            <w:tcW w:w="4526" w:type="dxa"/>
          </w:tcPr>
          <w:p>
            <w:pPr>
              <w:rPr>
                <w:rFonts w:ascii="Times New Roman" w:hAnsi="Times New Roman"/>
                <w:sz w:val="24"/>
                <w:lang w:val="en-US"/>
              </w:rPr>
            </w:pPr>
            <w:r>
              <w:rPr>
                <w:rFonts w:ascii="Times New Roman" w:hAnsi="Times New Roman"/>
                <w:sz w:val="24"/>
                <w:lang w:val="en-US"/>
              </w:rPr>
              <w:t>11.09.2024 12:00</w:t>
            </w:r>
          </w:p>
        </w:tc>
      </w:tr>
      <w:tr>
        <w:tc>
          <w:tcPr>
            <w:tcW w:w="5103" w:type="dxa"/>
          </w:tcPr>
          <w:p>
            <w:pPr>
              <w:rPr>
                <w:rFonts w:ascii="Times New Roman" w:hAnsi="Times New Roman"/>
                <w:sz w:val="24"/>
              </w:rPr>
            </w:pPr>
            <w:r>
              <w:rPr>
                <w:rFonts w:ascii="Times New Roman" w:hAnsi="Times New Roman"/>
                <w:sz w:val="24"/>
              </w:rPr>
              <w:t>Дата та час закінчення голосування:</w:t>
            </w:r>
          </w:p>
        </w:tc>
        <w:tc>
          <w:tcPr>
            <w:tcW w:w="4526" w:type="dxa"/>
          </w:tcPr>
          <w:p>
            <w:pPr>
              <w:rPr>
                <w:rFonts w:ascii="Times New Roman" w:hAnsi="Times New Roman"/>
                <w:sz w:val="24"/>
                <w:lang w:val="en-US"/>
              </w:rPr>
            </w:pPr>
            <w:r>
              <w:rPr>
                <w:rFonts w:ascii="Times New Roman" w:hAnsi="Times New Roman"/>
                <w:sz w:val="24"/>
                <w:lang w:val="en-US"/>
              </w:rPr>
              <w:t>11.09.2024 15:00</w:t>
            </w:r>
          </w:p>
        </w:tc>
      </w:tr>
      <w:tr>
        <w:tc>
          <w:tcPr>
            <w:tcW w:w="5103" w:type="dxa"/>
          </w:tcPr>
          <w:p>
            <w:pPr>
              <w:rPr>
                <w:rFonts w:ascii="Times New Roman" w:hAnsi="Times New Roman"/>
                <w:sz w:val="24"/>
              </w:rPr>
            </w:pPr>
          </w:p>
        </w:tc>
        <w:tc>
          <w:tcPr>
            <w:tcW w:w="4526" w:type="dxa"/>
          </w:tcPr>
          <w:p>
            <w:pPr>
              <w:rPr>
                <w:rFonts w:ascii="Times New Roman" w:hAnsi="Times New Roman"/>
                <w:i w:val="1"/>
                <w:sz w:val="24"/>
              </w:rPr>
            </w:pPr>
          </w:p>
        </w:tc>
      </w:tr>
      <w:tr>
        <w:tc>
          <w:tcPr>
            <w:tcW w:w="5103" w:type="dxa"/>
          </w:tcPr>
          <w:p>
            <w:pPr>
              <w:rPr>
                <w:rFonts w:ascii="Times New Roman" w:hAnsi="Times New Roman"/>
                <w:sz w:val="24"/>
              </w:rPr>
            </w:pPr>
            <w:r>
              <w:rPr>
                <w:rFonts w:ascii="Times New Roman" w:hAnsi="Times New Roman"/>
                <w:sz w:val="24"/>
              </w:rPr>
              <w:t>Дата та час формування авторизованою електронною системою Протоколу про результати голосування</w:t>
            </w:r>
          </w:p>
        </w:tc>
        <w:tc>
          <w:tcPr>
            <w:tcW w:w="4526" w:type="dxa"/>
          </w:tcPr>
          <w:p>
            <w:pPr>
              <w:rPr>
                <w:rFonts w:ascii="Times New Roman" w:hAnsi="Times New Roman"/>
                <w:i w:val="1"/>
                <w:sz w:val="24"/>
                <w:lang w:val="en-US"/>
              </w:rPr>
            </w:pPr>
            <w:r>
              <w:rPr>
                <w:rFonts w:ascii="Times New Roman" w:hAnsi="Times New Roman"/>
                <w:i w:val="1"/>
                <w:sz w:val="24"/>
                <w:lang w:val="en-US"/>
              </w:rPr>
              <w:t>11.09.2024 15:00:15</w:t>
            </w:r>
          </w:p>
        </w:tc>
      </w:tr>
      <w:tr>
        <w:tc>
          <w:tcPr>
            <w:tcW w:w="5103" w:type="dxa"/>
          </w:tcPr>
          <w:p>
            <w:pPr>
              <w:rPr>
                <w:rFonts w:ascii="Times New Roman" w:hAnsi="Times New Roman"/>
                <w:sz w:val="24"/>
              </w:rPr>
            </w:pPr>
          </w:p>
          <w:p>
            <w:pPr>
              <w:rPr>
                <w:rFonts w:ascii="Times New Roman" w:hAnsi="Times New Roman"/>
                <w:sz w:val="24"/>
              </w:rPr>
            </w:pPr>
            <w:r>
              <w:rPr>
                <w:rFonts w:ascii="Times New Roman" w:hAnsi="Times New Roman"/>
                <w:sz w:val="24"/>
              </w:rPr>
              <w:t>Вид зборів:</w:t>
            </w:r>
          </w:p>
        </w:tc>
        <w:tc>
          <w:tcPr>
            <w:tcW w:w="4526" w:type="dxa"/>
          </w:tcPr>
          <w:p>
            <w:pPr>
              <w:rPr>
                <w:rFonts w:ascii="Times New Roman" w:hAnsi="Times New Roman"/>
                <w:sz w:val="24"/>
              </w:rPr>
            </w:pPr>
          </w:p>
          <w:p>
            <w:pPr>
              <w:rPr>
                <w:rFonts w:ascii="Times New Roman" w:hAnsi="Times New Roman"/>
                <w:sz w:val="24"/>
              </w:rPr>
            </w:pPr>
            <w:r>
              <w:rPr>
                <w:rFonts w:ascii="Times New Roman" w:hAnsi="Times New Roman"/>
                <w:sz w:val="24"/>
              </w:rPr>
              <w:t>збори власників облігацій випуску</w:t>
            </w:r>
            <w:r>
              <w:rPr>
                <w:rFonts w:ascii="Times New Roman" w:hAnsi="Times New Roman"/>
                <w:sz w:val="24"/>
                <w:lang w:val="en-US"/>
              </w:rPr>
              <w:t xml:space="preserve"> </w:t>
            </w:r>
            <w:r>
              <w:rPr>
                <w:rFonts w:ascii="Times New Roman" w:hAnsi="Times New Roman"/>
                <w:sz w:val="24"/>
              </w:rPr>
              <w:t>UA5000011594</w:t>
            </w:r>
            <w:r>
              <w:rPr>
                <w:rFonts w:ascii="Times New Roman" w:hAnsi="Times New Roman"/>
                <w:sz w:val="24"/>
              </w:rPr>
              <w:t xml:space="preserve">, емітентом яких є </w:t>
            </w:r>
            <w:r>
              <w:rPr>
                <w:rFonts w:ascii="Times New Roman" w:hAnsi="Times New Roman"/>
                <w:sz w:val="24"/>
              </w:rPr>
              <w:t>ТОВАРИСТВО З ОБМЕЖЕНОЮ ВІДПОВІДАЛЬНІСТЮ "ФІНАНСОВА КОМПАНІЯ "САПЛАЙ ЧЕЙН ФІНАНС"</w:t>
            </w:r>
            <w:r>
              <w:rPr>
                <w:rFonts w:ascii="Times New Roman" w:hAnsi="Times New Roman"/>
                <w:sz w:val="24"/>
              </w:rPr>
              <w:t xml:space="preserve">, код за ЄДРПОУ емітента: </w:t>
            </w:r>
            <w:r>
              <w:rPr>
                <w:rFonts w:ascii="Times New Roman" w:hAnsi="Times New Roman"/>
                <w:sz w:val="24"/>
              </w:rPr>
              <w:t>43603477</w:t>
            </w:r>
          </w:p>
          <w:p>
            <w:pPr>
              <w:rPr>
                <w:rFonts w:ascii="Times New Roman" w:hAnsi="Times New Roman"/>
                <w:sz w:val="24"/>
              </w:rPr>
            </w:pPr>
          </w:p>
        </w:tc>
      </w:tr>
    </w:tbl>
    <w:p>
      <w:pPr>
        <w:spacing w:after="0" w:beforeAutospacing="0" w:afterAutospacing="0"/>
        <w:rPr>
          <w:rFonts w:ascii="Times New Roman" w:hAnsi="Times New Roman"/>
          <w:sz w:val="24"/>
        </w:rPr>
      </w:pPr>
    </w:p>
    <w:tbl>
      <w:tblPr>
        <w:tblStyle w:val="T2"/>
        <w:tblW w:w="0" w:type="auto"/>
        <w:tblBorders>
          <w:top w:val="nil" w:sz="0" w:space="0" w:shadow="0" w:frame="0" w:color="000000"/>
          <w:left w:val="nil" w:sz="0" w:space="0" w:shadow="0" w:frame="0" w:color="000000"/>
          <w:bottom w:val="nil" w:sz="0" w:space="0" w:shadow="0" w:frame="0" w:color="000000"/>
          <w:right w:val="nil" w:sz="0" w:space="0" w:shadow="0" w:frame="0" w:color="000000"/>
          <w:insideH w:val="nil" w:sz="0" w:space="0" w:shadow="0" w:frame="0" w:color="000000"/>
          <w:insideV w:val="nil" w:sz="0" w:space="0" w:shadow="0" w:frame="0" w:color="000000"/>
        </w:tblBorders>
        <w:tblLayout w:type="autofit"/>
        <w:tblLook w:val="04A0"/>
      </w:tblPr>
      <w:tblGrid/>
      <w:tr>
        <w:tc>
          <w:tcPr>
            <w:tcW w:w="5136" w:type="dxa"/>
            <w:hideMark/>
          </w:tcPr>
          <w:p>
            <w:pPr>
              <w:rPr>
                <w:rFonts w:ascii="Times New Roman" w:hAnsi="Times New Roman"/>
                <w:sz w:val="24"/>
              </w:rPr>
            </w:pPr>
            <w:r>
              <w:rPr>
                <w:rFonts w:ascii="Times New Roman" w:hAnsi="Times New Roman"/>
                <w:sz w:val="24"/>
              </w:rPr>
              <w:t xml:space="preserve">Інформація щодо випуску облігацій </w:t>
            </w:r>
            <w:r>
              <w:rPr>
                <w:rFonts w:ascii="Times New Roman" w:hAnsi="Times New Roman"/>
                <w:sz w:val="24"/>
              </w:rPr>
              <w:t>UA5000011594</w:t>
            </w:r>
            <w:r>
              <w:rPr>
                <w:rFonts w:ascii="Times New Roman" w:hAnsi="Times New Roman"/>
                <w:sz w:val="24"/>
              </w:rPr>
              <w:t>:</w:t>
            </w:r>
          </w:p>
        </w:tc>
        <w:tc>
          <w:tcPr>
            <w:tcW w:w="4503" w:type="dxa"/>
          </w:tcPr>
          <w:p>
            <w:pPr>
              <w:rPr>
                <w:rFonts w:ascii="Times New Roman" w:hAnsi="Times New Roman"/>
                <w:i w:val="1"/>
                <w:sz w:val="24"/>
                <w:u w:val="single"/>
              </w:rPr>
            </w:pPr>
            <w:r>
              <w:rPr>
                <w:rFonts w:ascii="Times New Roman" w:hAnsi="Times New Roman"/>
                <w:i w:val="1"/>
                <w:sz w:val="24"/>
              </w:rPr>
              <w:t>ТОВ "ФК "СЧФ"</w:t>
            </w:r>
            <w:r>
              <w:rPr>
                <w:rFonts w:ascii="Times New Roman" w:hAnsi="Times New Roman"/>
                <w:i w:val="1"/>
                <w:sz w:val="24"/>
              </w:rPr>
              <w:t xml:space="preserve">,  серія </w:t>
            </w:r>
            <w:r>
              <w:rPr>
                <w:rFonts w:ascii="Times New Roman" w:hAnsi="Times New Roman"/>
                <w:i w:val="1"/>
                <w:sz w:val="24"/>
              </w:rPr>
              <w:t>A</w:t>
            </w:r>
            <w:r>
              <w:rPr>
                <w:rFonts w:ascii="Times New Roman" w:hAnsi="Times New Roman"/>
                <w:i w:val="1"/>
                <w:sz w:val="24"/>
              </w:rPr>
              <w:t xml:space="preserve">, загальна кількість ЦП у випуску: </w:t>
            </w:r>
            <w:r>
              <w:rPr>
                <w:rFonts w:ascii="Times New Roman" w:hAnsi="Times New Roman"/>
                <w:i w:val="1"/>
                <w:sz w:val="24"/>
              </w:rPr>
              <w:t>6 000</w:t>
            </w:r>
            <w:r>
              <w:rPr>
                <w:rFonts w:ascii="Times New Roman" w:hAnsi="Times New Roman"/>
                <w:i w:val="1"/>
                <w:sz w:val="24"/>
              </w:rPr>
              <w:t xml:space="preserve">, номінальна вартість 1 ЦП: </w:t>
            </w:r>
            <w:r>
              <w:rPr>
                <w:rFonts w:ascii="Times New Roman" w:hAnsi="Times New Roman"/>
                <w:i w:val="1"/>
                <w:sz w:val="24"/>
              </w:rPr>
              <w:t>10 000.00</w:t>
            </w:r>
            <w:r>
              <w:rPr>
                <w:rFonts w:ascii="Times New Roman" w:hAnsi="Times New Roman"/>
                <w:i w:val="1"/>
                <w:sz w:val="24"/>
              </w:rPr>
              <w:t xml:space="preserve"> </w:t>
            </w:r>
            <w:r>
              <w:rPr>
                <w:rFonts w:ascii="Times New Roman" w:hAnsi="Times New Roman"/>
                <w:i w:val="1"/>
                <w:sz w:val="24"/>
                <w:u w:val="single"/>
              </w:rPr>
              <w:t>UAH</w:t>
            </w:r>
          </w:p>
          <w:p>
            <w:pPr>
              <w:rPr>
                <w:rFonts w:ascii="Times New Roman" w:hAnsi="Times New Roman"/>
                <w:sz w:val="24"/>
              </w:rPr>
            </w:pPr>
            <w:r>
              <w:rPr>
                <w:rFonts w:ascii="Times New Roman" w:hAnsi="Times New Roman"/>
                <w:i w:val="1"/>
                <w:sz w:val="24"/>
                <w:u w:val="single"/>
              </w:rPr>
              <w:t xml:space="preserve"> </w:t>
            </w:r>
          </w:p>
        </w:tc>
      </w:tr>
      <w:tr>
        <w:tc>
          <w:tcPr>
            <w:tcW w:w="5136" w:type="dxa"/>
          </w:tcPr>
          <w:p>
            <w:pPr>
              <w:rPr>
                <w:rFonts w:ascii="Times New Roman" w:hAnsi="Times New Roman"/>
                <w:sz w:val="24"/>
                <w:lang w:val="ru-RU"/>
              </w:rPr>
            </w:pPr>
            <w:r>
              <w:rPr>
                <w:rFonts w:ascii="Times New Roman" w:hAnsi="Times New Roman"/>
                <w:sz w:val="24"/>
              </w:rPr>
              <w:tab/>
              <w:t>Дата складення переліку власників облігацій, які мають право на участь у зборах за випуском облігацій</w:t>
            </w:r>
            <w:r>
              <w:rPr>
                <w:rFonts w:ascii="Times New Roman" w:hAnsi="Times New Roman"/>
                <w:sz w:val="24"/>
                <w:lang w:val="ru-RU"/>
              </w:rPr>
              <w:t xml:space="preserve"> </w:t>
            </w:r>
            <w:r>
              <w:rPr>
                <w:rFonts w:ascii="Times New Roman" w:hAnsi="Times New Roman"/>
                <w:sz w:val="24"/>
                <w:lang w:val="ru-RU"/>
              </w:rPr>
              <w:t>UA5000011594</w:t>
            </w:r>
          </w:p>
        </w:tc>
        <w:tc>
          <w:tcPr>
            <w:tcW w:w="4503" w:type="dxa"/>
            <w:vAlign w:val="center"/>
          </w:tcPr>
          <w:p>
            <w:pPr>
              <w:rPr>
                <w:rFonts w:ascii="Times New Roman" w:hAnsi="Times New Roman"/>
                <w:i w:val="1"/>
                <w:sz w:val="24"/>
                <w:lang w:val="en-US"/>
              </w:rPr>
            </w:pPr>
            <w:r>
              <w:rPr>
                <w:rFonts w:ascii="Times New Roman" w:hAnsi="Times New Roman"/>
                <w:i w:val="1"/>
                <w:sz w:val="24"/>
                <w:lang w:val="ru-RU"/>
              </w:rPr>
              <w:t xml:space="preserve">станом на </w:t>
            </w:r>
            <w:r>
              <w:rPr>
                <w:rFonts w:ascii="Times New Roman" w:hAnsi="Times New Roman"/>
                <w:i w:val="1"/>
                <w:sz w:val="24"/>
                <w:lang w:val="en-US"/>
              </w:rPr>
              <w:t>06.09.2024</w:t>
            </w:r>
          </w:p>
        </w:tc>
      </w:tr>
      <w:tr>
        <w:tc>
          <w:tcPr>
            <w:tcW w:w="5136" w:type="dxa"/>
          </w:tcPr>
          <w:p>
            <w:pPr>
              <w:rPr>
                <w:rFonts w:ascii="Times New Roman" w:hAnsi="Times New Roman"/>
                <w:b w:val="1"/>
                <w:sz w:val="24"/>
                <w:lang w:val="ru-RU"/>
              </w:rPr>
            </w:pPr>
            <w:r>
              <w:rPr>
                <w:rFonts w:ascii="Times New Roman" w:hAnsi="Times New Roman"/>
                <w:sz w:val="24"/>
              </w:rPr>
              <w:tab/>
              <w:t xml:space="preserve">Загальна кількість осіб, включених до переліку власників облігацій, які мають право на участь у зборах за випуском облігацій </w:t>
            </w:r>
            <w:r>
              <w:rPr>
                <w:rFonts w:ascii="Times New Roman" w:hAnsi="Times New Roman"/>
                <w:sz w:val="24"/>
                <w:lang w:val="ru-RU"/>
              </w:rPr>
              <w:t>UA5000011594</w:t>
            </w:r>
          </w:p>
        </w:tc>
        <w:tc>
          <w:tcPr>
            <w:tcW w:w="4503" w:type="dxa"/>
            <w:vAlign w:val="center"/>
          </w:tcPr>
          <w:p>
            <w:pPr>
              <w:rPr>
                <w:rFonts w:ascii="Times New Roman" w:hAnsi="Times New Roman"/>
                <w:i w:val="1"/>
                <w:sz w:val="24"/>
                <w:lang w:val="en-US"/>
              </w:rPr>
            </w:pPr>
            <w:r>
              <w:rPr>
                <w:rFonts w:ascii="Times New Roman" w:hAnsi="Times New Roman"/>
                <w:i w:val="1"/>
                <w:sz w:val="24"/>
                <w:lang w:val="en-US"/>
              </w:rPr>
              <w:t>4</w:t>
            </w:r>
          </w:p>
        </w:tc>
      </w:tr>
      <w:tr>
        <w:tc>
          <w:tcPr>
            <w:tcW w:w="5136" w:type="dxa"/>
          </w:tcPr>
          <w:p>
            <w:pPr>
              <w:rPr>
                <w:rFonts w:ascii="Times New Roman" w:hAnsi="Times New Roman"/>
                <w:sz w:val="24"/>
              </w:rPr>
            </w:pPr>
            <w:r>
              <w:rPr>
                <w:rFonts w:ascii="Times New Roman" w:hAnsi="Times New Roman"/>
                <w:sz w:val="24"/>
              </w:rPr>
              <w:tab/>
              <w:t xml:space="preserve">Загальна кількості голосів за випуском облігацій </w:t>
            </w:r>
            <w:r>
              <w:rPr>
                <w:rFonts w:ascii="Times New Roman" w:hAnsi="Times New Roman"/>
                <w:sz w:val="24"/>
              </w:rPr>
              <w:t>UA5000011594</w:t>
            </w:r>
          </w:p>
        </w:tc>
        <w:tc>
          <w:tcPr>
            <w:tcW w:w="4503" w:type="dxa"/>
            <w:vAlign w:val="center"/>
          </w:tcPr>
          <w:p>
            <w:pPr>
              <w:rPr>
                <w:rFonts w:ascii="Times New Roman" w:hAnsi="Times New Roman"/>
                <w:i w:val="1"/>
                <w:sz w:val="24"/>
                <w:lang w:val="en-US"/>
              </w:rPr>
            </w:pPr>
            <w:r>
              <w:rPr>
                <w:rFonts w:ascii="Times New Roman" w:hAnsi="Times New Roman"/>
                <w:i w:val="1"/>
                <w:sz w:val="24"/>
                <w:lang w:val="en-US"/>
              </w:rPr>
              <w:t>60 000 000</w:t>
            </w:r>
          </w:p>
        </w:tc>
      </w:tr>
      <w:tr>
        <w:tc>
          <w:tcPr>
            <w:tcW w:w="5136" w:type="dxa"/>
          </w:tcPr>
          <w:p>
            <w:pPr>
              <w:rPr>
                <w:rFonts w:ascii="Times New Roman" w:hAnsi="Times New Roman"/>
                <w:sz w:val="24"/>
              </w:rPr>
            </w:pPr>
            <w:r>
              <w:rPr>
                <w:rFonts w:ascii="Times New Roman" w:hAnsi="Times New Roman"/>
                <w:sz w:val="24"/>
              </w:rPr>
              <w:tab/>
              <w:t xml:space="preserve">Загальна кількість голосів власників облігацій, які зареєструвалися для участі у зборах за випуском облігацій </w:t>
            </w:r>
            <w:r>
              <w:rPr>
                <w:rFonts w:ascii="Times New Roman" w:hAnsi="Times New Roman"/>
                <w:sz w:val="24"/>
                <w:lang w:val="ru-RU"/>
              </w:rPr>
              <w:t>UA5000011594</w:t>
            </w:r>
          </w:p>
        </w:tc>
        <w:tc>
          <w:tcPr>
            <w:tcW w:w="4503" w:type="dxa"/>
            <w:vAlign w:val="center"/>
          </w:tcPr>
          <w:p>
            <w:pPr>
              <w:rPr>
                <w:rFonts w:ascii="Times New Roman" w:hAnsi="Times New Roman"/>
                <w:i w:val="1"/>
                <w:sz w:val="24"/>
              </w:rPr>
            </w:pPr>
            <w:r>
              <w:rPr>
                <w:rFonts w:ascii="Times New Roman" w:hAnsi="Times New Roman"/>
                <w:i w:val="1"/>
                <w:sz w:val="24"/>
                <w:lang w:val="en-US"/>
              </w:rPr>
              <w:t>48 000 000</w:t>
            </w:r>
          </w:p>
        </w:tc>
      </w:tr>
      <w:tr>
        <w:tc>
          <w:tcPr>
            <w:tcW w:w="5136" w:type="dxa"/>
          </w:tcPr>
          <w:p>
            <w:pPr>
              <w:rPr>
                <w:rFonts w:ascii="Times New Roman" w:hAnsi="Times New Roman"/>
                <w:sz w:val="24"/>
              </w:rPr>
            </w:pPr>
            <w:r>
              <w:rPr>
                <w:rFonts w:ascii="Times New Roman" w:hAnsi="Times New Roman"/>
                <w:sz w:val="24"/>
              </w:rPr>
              <w:tab/>
              <w:t>Кворум</w:t>
            </w:r>
          </w:p>
        </w:tc>
        <w:tc>
          <w:tcPr>
            <w:tcW w:w="4503" w:type="dxa"/>
            <w:vAlign w:val="center"/>
          </w:tcPr>
          <w:p>
            <w:pPr>
              <w:rPr>
                <w:rFonts w:ascii="Times New Roman" w:hAnsi="Times New Roman"/>
                <w:i w:val="1"/>
                <w:sz w:val="24"/>
                <w:lang w:val="en-US"/>
              </w:rPr>
            </w:pPr>
            <w:r>
              <w:rPr>
                <w:rFonts w:ascii="Times New Roman" w:hAnsi="Times New Roman"/>
                <w:i w:val="1"/>
                <w:sz w:val="24"/>
              </w:rPr>
              <w:t>є</w:t>
            </w:r>
            <w:r>
              <w:rPr>
                <w:rFonts w:ascii="Times New Roman" w:hAnsi="Times New Roman"/>
                <w:i w:val="1"/>
                <w:sz w:val="24"/>
                <w:lang w:val="en-US"/>
              </w:rPr>
              <w:t xml:space="preserve"> </w:t>
            </w:r>
          </w:p>
        </w:tc>
      </w:tr>
    </w:tbl>
    <w:p>
      <w:pPr>
        <w:spacing w:after="0" w:beforeAutospacing="0" w:afterAutospacing="0"/>
        <w:rPr>
          <w:rFonts w:ascii="Times New Roman" w:hAnsi="Times New Roman"/>
          <w:sz w:val="24"/>
        </w:rPr>
      </w:pPr>
    </w:p>
    <w:p>
      <w:pPr>
        <w:spacing w:after="0" w:beforeAutospacing="0" w:afterAutospacing="0"/>
        <w:rPr>
          <w:rFonts w:ascii="Times New Roman" w:hAnsi="Times New Roman"/>
          <w:sz w:val="24"/>
        </w:rPr>
      </w:pPr>
    </w:p>
    <w:tbl>
      <w:tblPr>
        <w:tblStyle w:val="T2"/>
        <w:tblW w:w="0" w:type="auto"/>
        <w:tblBorders>
          <w:top w:val="nil" w:sz="0" w:space="0" w:shadow="0" w:frame="0" w:color="000000"/>
          <w:left w:val="nil" w:sz="0" w:space="0" w:shadow="0" w:frame="0" w:color="000000"/>
          <w:bottom w:val="nil" w:sz="0" w:space="0" w:shadow="0" w:frame="0" w:color="000000"/>
          <w:right w:val="nil" w:sz="0" w:space="0" w:shadow="0" w:frame="0" w:color="000000"/>
          <w:insideH w:val="nil" w:sz="0" w:space="0" w:shadow="0" w:frame="0" w:color="000000"/>
          <w:insideV w:val="nil" w:sz="0" w:space="0" w:shadow="0" w:frame="0" w:color="000000"/>
        </w:tblBorders>
        <w:tblLook w:val="04A0"/>
      </w:tblPr>
      <w:tblGrid/>
      <w:tr>
        <w:tc>
          <w:tcPr>
            <w:tcW w:w="5103" w:type="dxa"/>
          </w:tcPr>
          <w:p>
            <w:pPr>
              <w:rPr>
                <w:rFonts w:ascii="Times New Roman" w:hAnsi="Times New Roman"/>
                <w:sz w:val="24"/>
                <w:lang w:val="ru-RU"/>
              </w:rPr>
            </w:pPr>
            <w:r>
              <w:rPr>
                <w:rFonts w:ascii="Times New Roman" w:hAnsi="Times New Roman"/>
                <w:sz w:val="24"/>
              </w:rPr>
              <w:t>Особа, відповідальна за проведення зборів</w:t>
            </w:r>
          </w:p>
        </w:tc>
        <w:tc>
          <w:tcPr>
            <w:tcW w:w="4526" w:type="dxa"/>
          </w:tcPr>
          <w:p>
            <w:pPr>
              <w:rPr>
                <w:rFonts w:ascii="Times New Roman" w:hAnsi="Times New Roman"/>
                <w:i w:val="1"/>
                <w:sz w:val="24"/>
              </w:rPr>
            </w:pPr>
            <w:r>
              <w:rPr>
                <w:rFonts w:ascii="Times New Roman" w:hAnsi="Times New Roman"/>
                <w:i w:val="1"/>
                <w:sz w:val="24"/>
                <w:lang w:val="en-US"/>
              </w:rPr>
              <w:t>ПАТ "НДУ"</w:t>
            </w:r>
            <w:r>
              <w:rPr>
                <w:rFonts w:ascii="Times New Roman" w:hAnsi="Times New Roman"/>
                <w:i w:val="1"/>
                <w:sz w:val="24"/>
                <w:lang w:val="en-US"/>
              </w:rPr>
              <w:t xml:space="preserve">, </w:t>
            </w:r>
            <w:r>
              <w:rPr>
                <w:rFonts w:ascii="Times New Roman" w:hAnsi="Times New Roman"/>
                <w:i w:val="1"/>
                <w:sz w:val="24"/>
                <w:lang w:val="ru-RU"/>
              </w:rPr>
              <w:t>код</w:t>
            </w:r>
            <w:r>
              <w:rPr>
                <w:rFonts w:ascii="Times New Roman" w:hAnsi="Times New Roman"/>
                <w:i w:val="1"/>
                <w:sz w:val="24"/>
                <w:lang w:val="en-US"/>
              </w:rPr>
              <w:t xml:space="preserve"> </w:t>
            </w:r>
            <w:r>
              <w:rPr>
                <w:rFonts w:ascii="Times New Roman" w:hAnsi="Times New Roman"/>
                <w:i w:val="1"/>
                <w:sz w:val="24"/>
                <w:lang w:val="ru-RU"/>
              </w:rPr>
              <w:t>за</w:t>
            </w:r>
            <w:r>
              <w:rPr>
                <w:rFonts w:ascii="Times New Roman" w:hAnsi="Times New Roman"/>
                <w:i w:val="1"/>
                <w:sz w:val="24"/>
                <w:lang w:val="en-US"/>
              </w:rPr>
              <w:t xml:space="preserve"> </w:t>
            </w:r>
            <w:r>
              <w:rPr>
                <w:rFonts w:ascii="Times New Roman" w:hAnsi="Times New Roman"/>
                <w:i w:val="1"/>
                <w:sz w:val="24"/>
                <w:lang w:val="ru-RU"/>
              </w:rPr>
              <w:t>ЄДРПОУ</w:t>
            </w:r>
            <w:r>
              <w:rPr>
                <w:rFonts w:ascii="Times New Roman" w:hAnsi="Times New Roman"/>
                <w:i w:val="1"/>
                <w:sz w:val="24"/>
                <w:lang w:val="en-US"/>
              </w:rPr>
              <w:t xml:space="preserve">: </w:t>
            </w:r>
            <w:r>
              <w:rPr>
                <w:rFonts w:ascii="Times New Roman" w:hAnsi="Times New Roman"/>
                <w:i w:val="1"/>
                <w:sz w:val="24"/>
                <w:lang w:val="en-US"/>
              </w:rPr>
              <w:t>30370711</w:t>
            </w:r>
          </w:p>
        </w:tc>
      </w:tr>
      <w:tr>
        <w:tc>
          <w:tcPr>
            <w:tcW w:w="5103" w:type="dxa"/>
          </w:tcPr>
          <w:p>
            <w:pPr>
              <w:rPr>
                <w:rFonts w:ascii="Times New Roman" w:hAnsi="Times New Roman"/>
                <w:sz w:val="24"/>
              </w:rPr>
            </w:pPr>
            <w:r>
              <w:rPr>
                <w:rFonts w:ascii="Times New Roman" w:hAnsi="Times New Roman"/>
                <w:sz w:val="24"/>
              </w:rPr>
              <w:t>Особа (особи) уповноважена взаємодіяти з авторизованою електронною системою</w:t>
            </w:r>
          </w:p>
          <w:p>
            <w:pPr>
              <w:rPr>
                <w:rFonts w:ascii="Times New Roman" w:hAnsi="Times New Roman"/>
                <w:sz w:val="24"/>
              </w:rPr>
            </w:pPr>
          </w:p>
        </w:tc>
        <w:tc>
          <w:tcPr>
            <w:tcW w:w="4526" w:type="dxa"/>
          </w:tcPr>
          <w:p>
            <w:pPr>
              <w:rPr>
                <w:rFonts w:ascii="Times New Roman" w:hAnsi="Times New Roman"/>
                <w:i w:val="1"/>
                <w:sz w:val="24"/>
                <w:lang w:val="en-US"/>
              </w:rPr>
            </w:pPr>
            <w:r>
              <w:rPr>
                <w:rFonts w:ascii="Times New Roman" w:hAnsi="Times New Roman"/>
                <w:i w:val="1"/>
                <w:sz w:val="24"/>
                <w:lang w:val="en-US"/>
              </w:rPr>
              <w:t>Сапанчук Світлана Петрівна</w:t>
            </w:r>
          </w:p>
          <w:p>
            <w:pPr>
              <w:rPr>
                <w:rFonts w:ascii="Times New Roman" w:hAnsi="Times New Roman"/>
                <w:i w:val="1"/>
                <w:sz w:val="24"/>
                <w:lang w:val="en-US"/>
              </w:rPr>
            </w:pPr>
            <w:r>
              <w:rPr>
                <w:rFonts w:ascii="Times New Roman" w:hAnsi="Times New Roman"/>
                <w:i w:val="1"/>
                <w:sz w:val="24"/>
                <w:lang w:val="en-US"/>
              </w:rPr>
              <w:t>Яремійчук Іванна Степанівна</w:t>
            </w:r>
          </w:p>
        </w:tc>
      </w:tr>
    </w:tbl>
    <w:p>
      <w:pPr>
        <w:spacing w:after="0" w:beforeAutospacing="0" w:afterAutospacing="0"/>
        <w:rPr>
          <w:rFonts w:ascii="Times New Roman" w:hAnsi="Times New Roman"/>
          <w:sz w:val="24"/>
          <w:lang w:val="en-US"/>
        </w:rPr>
      </w:pPr>
    </w:p>
    <w:tbl>
      <w:tblPr>
        <w:tblStyle w:val="T2"/>
        <w:tblW w:w="0" w:type="auto"/>
        <w:tblInd w:w="-5" w:type="dxa"/>
        <w:tblBorders>
          <w:top w:val="nil" w:sz="0" w:space="0" w:shadow="0" w:frame="0" w:color="000000"/>
          <w:left w:val="nil" w:sz="0" w:space="0" w:shadow="0" w:frame="0" w:color="000000"/>
          <w:bottom w:val="nil" w:sz="0" w:space="0" w:shadow="0" w:frame="0" w:color="000000"/>
          <w:right w:val="nil" w:sz="0" w:space="0" w:shadow="0" w:frame="0" w:color="000000"/>
          <w:insideH w:val="nil" w:sz="0" w:space="0" w:shadow="0" w:frame="0" w:color="000000"/>
          <w:insideV w:val="nil" w:sz="0" w:space="0" w:shadow="0" w:frame="0" w:color="000000"/>
        </w:tblBorders>
        <w:tblLayout w:type="autofit"/>
        <w:tblLook w:val="04A0"/>
      </w:tblPr>
      <w:tblGrid/>
      <w:tr>
        <w:tc>
          <w:tcPr>
            <w:tcW w:w="9629" w:type="dxa"/>
            <w:gridSpan w:val="2"/>
            <w:hideMark/>
          </w:tcPr>
          <w:p>
            <w:pPr>
              <w:rPr>
                <w:rFonts w:ascii="Times New Roman" w:hAnsi="Times New Roman"/>
                <w:sz w:val="24"/>
                <w:lang w:val="ru-RU"/>
              </w:rPr>
            </w:pPr>
            <w:r>
              <w:rPr>
                <w:rFonts w:ascii="Times New Roman" w:hAnsi="Times New Roman"/>
                <w:sz w:val="24"/>
              </w:rPr>
              <w:t>Порядок денний зборів</w:t>
            </w:r>
            <w:r>
              <w:t xml:space="preserve"> </w:t>
            </w:r>
            <w:r>
              <w:rPr>
                <w:rFonts w:ascii="Times New Roman" w:hAnsi="Times New Roman"/>
                <w:sz w:val="24"/>
              </w:rPr>
              <w:t>власників облігацій:</w:t>
            </w:r>
          </w:p>
        </w:tc>
      </w:tr>
      <w:tr>
        <w:tc>
          <w:tcPr>
            <w:tcW w:w="1423" w:type="dxa"/>
          </w:tcPr>
          <w:p>
            <w:pPr>
              <w:rPr>
                <w:rFonts w:ascii="Times New Roman" w:hAnsi="Times New Roman"/>
                <w:sz w:val="24"/>
                <w:lang w:val="ru-RU"/>
              </w:rPr>
            </w:pPr>
            <w:r>
              <w:rPr>
                <w:rFonts w:ascii="Times New Roman" w:hAnsi="Times New Roman"/>
                <w:sz w:val="24"/>
                <w:lang w:val="ru-RU"/>
              </w:rPr>
              <w:t>1</w:t>
            </w:r>
          </w:p>
        </w:tc>
        <w:tc>
          <w:tcPr>
            <w:tcW w:w="8206" w:type="dxa"/>
          </w:tcPr>
          <w:p>
            <w:pPr>
              <w:spacing w:before="240" w:after="240"/>
            </w:pPr>
            <w:r>
              <w:t>Надання згоди власниками облігацій на внесення емітентом змін до рішення про емісію іменних, відсоткових, корпоративних звичайних (незабезпечених), ординарних облігацій серії А облігацій ТОВАРИСТВА З ОБМЕЖЕНОЮ ВІДПОВІДАЛЬНІСТЮ «ФІНАНСОВА КОМПАНІЯ «CАПЛАЙ ЧЕЙН ФІНАНС» (ISIN UA5000011594, реєстраційний № 17/2/2023, дата реєстрації випуску 05.10.2023 р.) в частині документа про цінні папери</w:t>
            </w:r>
          </w:p>
          <w:p>
            <w:pPr>
              <w:rPr>
                <w:rFonts w:ascii="Times New Roman" w:hAnsi="Times New Roman"/>
                <w:sz w:val="24"/>
                <w:lang w:val="ru-RU"/>
              </w:rPr>
            </w:pPr>
          </w:p>
        </w:tc>
      </w:tr>
    </w:tbl>
    <w:p>
      <w:pPr>
        <w:spacing w:after="0" w:beforeAutospacing="0" w:afterAutospacing="0"/>
        <w:rPr>
          <w:rFonts w:ascii="Times New Roman" w:hAnsi="Times New Roman"/>
          <w:sz w:val="24"/>
        </w:rPr>
      </w:pPr>
    </w:p>
    <w:p>
      <w:pPr>
        <w:spacing w:after="0" w:beforeAutospacing="0" w:afterAutospacing="0"/>
        <w:rPr>
          <w:rFonts w:ascii="Times New Roman" w:hAnsi="Times New Roman"/>
          <w:sz w:val="24"/>
          <w:lang w:val="en-US"/>
        </w:rPr>
      </w:pPr>
    </w:p>
    <w:p>
      <w:pPr>
        <w:ind w:firstLine="318"/>
        <w:rPr>
          <w:rFonts w:ascii="Times New Roman" w:hAnsi="Times New Roman"/>
          <w:b w:val="1"/>
          <w:sz w:val="28"/>
        </w:rPr>
      </w:pPr>
      <w:r>
        <w:rPr>
          <w:rFonts w:ascii="Times New Roman" w:hAnsi="Times New Roman"/>
          <w:b w:val="1"/>
          <w:sz w:val="28"/>
        </w:rPr>
        <w:t>Підсумки голосування з питань порядку денного зборів власників облігацій:</w:t>
      </w:r>
    </w:p>
    <w:p>
      <w:pPr>
        <w:spacing w:after="0" w:beforeAutospacing="0" w:afterAutospacing="0"/>
        <w:rPr>
          <w:rFonts w:ascii="Times New Roman" w:hAnsi="Times New Roman"/>
          <w:sz w:val="24"/>
        </w:rPr>
      </w:pPr>
    </w:p>
    <w:p>
      <w:pPr>
        <w:spacing w:after="0" w:beforeAutospacing="0" w:afterAutospacing="0"/>
        <w:rPr>
          <w:rFonts w:ascii="Times New Roman" w:hAnsi="Times New Roman"/>
          <w:sz w:val="24"/>
          <w:lang w:val="en-US"/>
        </w:rPr>
      </w:pPr>
    </w:p>
    <w:p>
      <w:pPr>
        <w:spacing w:after="0" w:beforeAutospacing="0" w:afterAutospacing="0"/>
        <w:rPr>
          <w:rFonts w:ascii="Times New Roman" w:hAnsi="Times New Roman"/>
          <w:sz w:val="24"/>
          <w:lang w:val="en-US"/>
        </w:rPr>
      </w:pPr>
    </w:p>
    <w:tbl>
      <w:tblPr>
        <w:tblStyle w:val="T2"/>
        <w:tblW w:w="9634" w:type="dxa"/>
        <w:tblBorders>
          <w:top w:val="nil" w:sz="0" w:space="0" w:shadow="0" w:frame="0" w:color="000000"/>
          <w:left w:val="nil" w:sz="0" w:space="0" w:shadow="0" w:frame="0" w:color="000000"/>
          <w:bottom w:val="nil" w:sz="0" w:space="0" w:shadow="0" w:frame="0" w:color="000000"/>
          <w:right w:val="nil" w:sz="0" w:space="0" w:shadow="0" w:frame="0" w:color="000000"/>
          <w:insideH w:val="nil" w:sz="0" w:space="0" w:shadow="0" w:frame="0" w:color="000000"/>
          <w:insideV w:val="nil" w:sz="0" w:space="0" w:shadow="0" w:frame="0" w:color="000000"/>
        </w:tblBorders>
        <w:tblLayout w:type="autofit"/>
        <w:tblLook w:val="04A0"/>
      </w:tblPr>
      <w:tblGrid/>
      <w:tr>
        <w:tc>
          <w:tcPr>
            <w:tcW w:w="9634" w:type="dxa"/>
          </w:tcPr>
          <w:p>
            <w:pPr>
              <w:rPr>
                <w:rFonts w:ascii="Times New Roman" w:hAnsi="Times New Roman"/>
                <w:b w:val="1"/>
                <w:sz w:val="24"/>
                <w:lang w:val="en-US"/>
              </w:rPr>
            </w:pPr>
            <w:r>
              <w:rPr>
                <w:rFonts w:ascii="Times New Roman" w:hAnsi="Times New Roman"/>
                <w:b w:val="1"/>
                <w:sz w:val="24"/>
              </w:rPr>
              <w:t xml:space="preserve">Питання: </w:t>
            </w:r>
            <w:r>
              <w:rPr>
                <w:rFonts w:ascii="Times New Roman" w:hAnsi="Times New Roman"/>
                <w:b w:val="1"/>
                <w:sz w:val="24"/>
                <w:lang w:val="en-US"/>
              </w:rPr>
              <w:t>1</w:t>
            </w:r>
            <w:r>
              <w:rPr>
                <w:rFonts w:ascii="Times New Roman" w:hAnsi="Times New Roman"/>
                <w:b w:val="1"/>
                <w:sz w:val="24"/>
                <w:lang w:val="en-US"/>
              </w:rPr>
              <w:t>.</w:t>
            </w:r>
          </w:p>
        </w:tc>
      </w:tr>
      <w:tr>
        <w:tc>
          <w:tcPr>
            <w:tcW w:w="9634" w:type="dxa"/>
          </w:tcPr>
          <w:p>
            <w:pPr>
              <w:spacing w:before="240" w:after="240"/>
            </w:pPr>
            <w:r>
              <w:t>Надання згоди власниками облігацій на внесення емітентом змін до рішення про емісію іменних, відсоткових, корпоративних звичайних (незабезпечених), ординарних облігацій серії А облігацій ТОВАРИСТВА З ОБМЕЖЕНОЮ ВІДПОВІДАЛЬНІСТЮ «ФІНАНСОВА КОМПАНІЯ «CАПЛАЙ ЧЕЙН ФІНАНС» (ISIN UA5000011594, реєстраційний № 17/2/2023, дата реєстрації випуску 05.10.2023 р.) в частині документа про цінні папери</w:t>
            </w:r>
          </w:p>
          <w:p>
            <w:pPr>
              <w:rPr>
                <w:rFonts w:ascii="Times New Roman" w:hAnsi="Times New Roman"/>
                <w:sz w:val="24"/>
              </w:rPr>
            </w:pPr>
          </w:p>
          <w:p>
            <w:pPr>
              <w:rPr>
                <w:rFonts w:ascii="Times New Roman" w:hAnsi="Times New Roman"/>
                <w:sz w:val="24"/>
                <w:lang w:val="en-US"/>
              </w:rPr>
            </w:pPr>
          </w:p>
        </w:tc>
      </w:tr>
    </w:tbl>
    <w:p>
      <w:pPr>
        <w:spacing w:after="0" w:beforeAutospacing="0" w:afterAutospacing="0"/>
        <w:rPr>
          <w:rFonts w:ascii="Times New Roman" w:hAnsi="Times New Roman"/>
          <w:sz w:val="24"/>
          <w:lang w:val="en-US"/>
        </w:rPr>
      </w:pPr>
    </w:p>
    <w:tbl>
      <w:tblPr>
        <w:tblStyle w:val="T2"/>
        <w:tblW w:w="0" w:type="auto"/>
        <w:tblBorders>
          <w:top w:val="nil" w:sz="0" w:space="0" w:shadow="0" w:frame="0" w:color="000000"/>
          <w:left w:val="nil" w:sz="0" w:space="0" w:shadow="0" w:frame="0" w:color="000000"/>
          <w:bottom w:val="nil" w:sz="0" w:space="0" w:shadow="0" w:frame="0" w:color="000000"/>
          <w:right w:val="nil" w:sz="0" w:space="0" w:shadow="0" w:frame="0" w:color="000000"/>
          <w:insideH w:val="nil" w:sz="0" w:space="0" w:shadow="0" w:frame="0" w:color="000000"/>
          <w:insideV w:val="nil" w:sz="0" w:space="0" w:shadow="0" w:frame="0" w:color="000000"/>
        </w:tblBorders>
        <w:tblLayout w:type="autofit"/>
        <w:tblLook w:val="04A0"/>
      </w:tblPr>
      <w:tblGrid/>
      <w:tr>
        <w:tc>
          <w:tcPr>
            <w:tcW w:w="9629" w:type="dxa"/>
          </w:tcPr>
          <w:p>
            <w:pPr>
              <w:rPr>
                <w:rFonts w:ascii="Times New Roman" w:hAnsi="Times New Roman"/>
                <w:sz w:val="24"/>
                <w:lang w:val="en-US"/>
              </w:rPr>
            </w:pPr>
            <w:r>
              <w:rPr>
                <w:rFonts w:ascii="Times New Roman" w:hAnsi="Times New Roman"/>
                <w:sz w:val="24"/>
              </w:rPr>
              <w:t xml:space="preserve">Проект рішення: </w:t>
            </w:r>
            <w:r>
              <w:rPr>
                <w:rFonts w:ascii="Times New Roman" w:hAnsi="Times New Roman"/>
                <w:sz w:val="24"/>
                <w:lang w:val="en-US"/>
              </w:rPr>
              <w:t>1</w:t>
            </w:r>
            <w:r>
              <w:rPr>
                <w:rFonts w:ascii="Times New Roman" w:hAnsi="Times New Roman"/>
                <w:sz w:val="24"/>
              </w:rPr>
              <w:t>.</w:t>
            </w:r>
          </w:p>
        </w:tc>
      </w:tr>
      <w:tr>
        <w:tc>
          <w:tcPr>
            <w:tcW w:w="9629" w:type="dxa"/>
          </w:tcPr>
          <w:p>
            <w:pPr>
              <w:spacing w:before="240" w:after="240"/>
            </w:pPr>
            <w:r>
              <w:t>1. Надати згоду на внесення змін до рішення про емісію іменних, відсоткових, корпоративних звичайних (незабезпечених), ординарних облігацій серії А ТОВАРИСТВА З ОБМЕЖЕНОЮ ВІДПОВІДАЛЬНІСТЮ «ФІНАНСОВА КОМПАНІЯ «CАПЛАЙ ЧЕЙН ФІНАНС» (ISIN UA5000011594, реєстраційний № 17/2/2023,  дата реєстрації випуску: 05.10.2023 р.) в частині документа про цінні папери, а саме: </w:t>
            </w:r>
          </w:p>
          <w:p>
            <w:pPr>
              <w:spacing w:before="240" w:after="240"/>
            </w:pPr>
            <w:r>
              <w:t>1.1. Пункт 14 «Інформація щодо викупу емітентом облігацій» розділу ІІ «Інформація про облігації, щодо яких прийнято рішення про емісію» рішення про емісію іменних, відсоткових, корпоративних звичайних (незабезпечених), ординарних облігацій серії А (у разі неоформлення проспекту облігацій) ТОВАРИСТВА З ОБМЕЖЕНОЮ ВІДПОВІДАЛЬНІСТЮ «ФІНАНСОВА КОМПАНІЯ «CАПЛАЙ ЧЕЙН ФІНАНС» викласти в наступній редакції:</w:t>
            </w:r>
          </w:p>
          <w:p>
            <w:pPr>
              <w:spacing w:before="240" w:after="240"/>
            </w:pPr>
            <w:r>
              <w:t>«</w:t>
            </w:r>
          </w:p>
          <w:tbl>
            <w:tblPr>
              <w:tblW w:w="0" w:type="auto"/>
              <w:tblCellSpacing w:w="15" w:type="dxa"/>
              <w:tblInd w:w="0" w:type="dxa"/>
              <w:tblBorders>
                <w:insideH w:val="none" w:sz="0" w:space="0" w:shadow="0" w:frame="0" w:color="000000"/>
                <w:insideV w:val="none" w:sz="0" w:space="0" w:shadow="0" w:frame="0" w:color="000000"/>
              </w:tblBorders>
              <w:tblLayout w:type="autofit"/>
              <w:tblCellMar>
                <w:top w:w="15" w:type="dxa"/>
                <w:left w:w="15" w:type="dxa"/>
                <w:bottom w:w="15" w:type="dxa"/>
                <w:right w:w="15" w:type="dxa"/>
              </w:tblCellMar>
            </w:tblPr>
            <w:tblGrid/>
            <w:tr>
              <w:tc>
                <w:tcPr>
                  <w:tcW w:w="0" w:type="auto"/>
                  <w:vMerge w:val="restart"/>
                  <w:tcBorders>
                    <w:top w:val="none" w:sz="0" w:space="0" w:shadow="0" w:frame="0" w:color="000000"/>
                    <w:left w:val="none" w:sz="0" w:space="0" w:shadow="0" w:frame="0" w:color="000000"/>
                    <w:bottom w:val="none" w:sz="0" w:space="0" w:shadow="0" w:frame="0" w:color="000000"/>
                    <w:right w:val="none" w:sz="0" w:space="0" w:shadow="0" w:frame="0" w:color="000000"/>
                  </w:tcBorders>
                  <w:tcMar>
                    <w:top w:w="15" w:type="dxa"/>
                    <w:left w:w="15" w:type="dxa"/>
                    <w:bottom w:w="15" w:type="dxa"/>
                    <w:right w:w="15" w:type="dxa"/>
                  </w:tcMar>
                  <w:vAlign w:val="center"/>
                </w:tcPr>
                <w:p>
                  <w:r>
                    <w:t>14</w:t>
                  </w:r>
                </w:p>
              </w:tc>
              <w:tc>
                <w:tcPr>
                  <w:tcW w:w="0" w:type="auto"/>
                  <w:gridSpan w:val="2"/>
                  <w:tcBorders>
                    <w:top w:val="none" w:sz="0" w:space="0" w:shadow="0" w:frame="0" w:color="000000"/>
                    <w:left w:val="none" w:sz="0" w:space="0" w:shadow="0" w:frame="0" w:color="000000"/>
                    <w:bottom w:val="none" w:sz="0" w:space="0" w:shadow="0" w:frame="0" w:color="000000"/>
                    <w:right w:val="none" w:sz="0" w:space="0" w:shadow="0" w:frame="0" w:color="000000"/>
                  </w:tcBorders>
                  <w:tcMar>
                    <w:top w:w="15" w:type="dxa"/>
                    <w:left w:w="15" w:type="dxa"/>
                    <w:bottom w:w="15" w:type="dxa"/>
                    <w:right w:w="15" w:type="dxa"/>
                  </w:tcMar>
                  <w:vAlign w:val="center"/>
                </w:tcPr>
                <w:p>
                  <w:r>
                    <w:t>Інформація щодо викупу емітентом облігацій:</w:t>
                  </w:r>
                </w:p>
              </w:tc>
            </w:tr>
            <w:tr>
              <w:tc>
                <w:tcPr>
                  <w:tcW w:w="0" w:type="auto"/>
                  <w:vMerge w:val="continue"/>
                  <w:tcBorders>
                    <w:top w:val="none" w:sz="0" w:space="0" w:shadow="0" w:frame="0" w:color="000000"/>
                    <w:left w:val="none" w:sz="0" w:space="0" w:shadow="0" w:frame="0" w:color="000000"/>
                    <w:bottom w:val="none" w:sz="0" w:space="0" w:shadow="0" w:frame="0" w:color="000000"/>
                    <w:right w:val="none" w:sz="0" w:space="0" w:shadow="0" w:frame="0" w:color="000000"/>
                  </w:tcBorders>
                  <w:tcMar>
                    <w:top w:w="15" w:type="dxa"/>
                    <w:left w:w="15" w:type="dxa"/>
                    <w:bottom w:w="15" w:type="dxa"/>
                    <w:right w:w="15" w:type="dxa"/>
                  </w:tcMar>
                  <w:vAlign w:val="center"/>
                </w:tcPr>
                <w:p/>
              </w:tc>
              <w:tc>
                <w:tcPr>
                  <w:tcW w:w="0" w:type="auto"/>
                  <w:tcBorders>
                    <w:top w:val="none" w:sz="0" w:space="0" w:shadow="0" w:frame="0" w:color="000000"/>
                    <w:left w:val="none" w:sz="0" w:space="0" w:shadow="0" w:frame="0" w:color="000000"/>
                    <w:bottom w:val="none" w:sz="0" w:space="0" w:shadow="0" w:frame="0" w:color="000000"/>
                    <w:right w:val="none" w:sz="0" w:space="0" w:shadow="0" w:frame="0" w:color="000000"/>
                  </w:tcBorders>
                  <w:tcMar>
                    <w:top w:w="15" w:type="dxa"/>
                    <w:left w:w="15" w:type="dxa"/>
                    <w:bottom w:w="15" w:type="dxa"/>
                    <w:right w:w="15" w:type="dxa"/>
                  </w:tcMar>
                  <w:vAlign w:val="center"/>
                </w:tcPr>
                <w:p>
                  <w:r>
                    <w:t>випадки, у яких емітент здійснює обов’язковий викуп облігацій</w:t>
                  </w:r>
                </w:p>
              </w:tc>
              <w:tc>
                <w:tcPr>
                  <w:tcW w:w="0" w:type="auto"/>
                  <w:tcBorders>
                    <w:top w:val="none" w:sz="0" w:space="0" w:shadow="0" w:frame="0" w:color="000000"/>
                    <w:left w:val="none" w:sz="0" w:space="0" w:shadow="0" w:frame="0" w:color="000000"/>
                    <w:bottom w:val="none" w:sz="0" w:space="0" w:shadow="0" w:frame="0" w:color="000000"/>
                    <w:right w:val="none" w:sz="0" w:space="0" w:shadow="0" w:frame="0" w:color="000000"/>
                  </w:tcBorders>
                  <w:tcMar>
                    <w:top w:w="15" w:type="dxa"/>
                    <w:left w:w="15" w:type="dxa"/>
                    <w:bottom w:w="15" w:type="dxa"/>
                    <w:right w:w="15" w:type="dxa"/>
                  </w:tcMar>
                  <w:vAlign w:val="center"/>
                </w:tcPr>
                <w:p>
                  <w:pPr>
                    <w:spacing w:before="240" w:after="240"/>
                  </w:pPr>
                  <w:r>
                    <w:t>Обов’язковий викуп облігацій емітентом не передбачений.</w:t>
                  </w:r>
                </w:p>
                <w:p>
                  <w:pPr>
                    <w:spacing w:before="240" w:after="240"/>
                  </w:pPr>
                  <w:r>
                    <w:t>За взаємною згодою окремого власника (власників) облігацій і емітента, емітент має право викупити у такого власника (власників) належні йому облігації в будь-який строк обігу облігацій за обумовленою сторонами ціною. Рішення про викуп облігацій у окремого власника (власників) облігацій приймається загальними зборами учасників ТОВ «ФК «СЧФ».</w:t>
                  </w:r>
                </w:p>
              </w:tc>
            </w:tr>
            <w:tr>
              <w:tc>
                <w:tcPr>
                  <w:tcW w:w="0" w:type="auto"/>
                  <w:vMerge w:val="continue"/>
                  <w:tcBorders>
                    <w:top w:val="none" w:sz="0" w:space="0" w:shadow="0" w:frame="0" w:color="000000"/>
                    <w:left w:val="none" w:sz="0" w:space="0" w:shadow="0" w:frame="0" w:color="000000"/>
                    <w:bottom w:val="none" w:sz="0" w:space="0" w:shadow="0" w:frame="0" w:color="000000"/>
                    <w:right w:val="none" w:sz="0" w:space="0" w:shadow="0" w:frame="0" w:color="000000"/>
                  </w:tcBorders>
                  <w:tcMar>
                    <w:top w:w="15" w:type="dxa"/>
                    <w:left w:w="15" w:type="dxa"/>
                    <w:bottom w:w="15" w:type="dxa"/>
                    <w:right w:w="15" w:type="dxa"/>
                  </w:tcMar>
                  <w:vAlign w:val="center"/>
                </w:tcPr>
                <w:p/>
              </w:tc>
              <w:tc>
                <w:tcPr>
                  <w:tcW w:w="0" w:type="auto"/>
                  <w:tcBorders>
                    <w:top w:val="none" w:sz="0" w:space="0" w:shadow="0" w:frame="0" w:color="000000"/>
                    <w:left w:val="none" w:sz="0" w:space="0" w:shadow="0" w:frame="0" w:color="000000"/>
                    <w:bottom w:val="none" w:sz="0" w:space="0" w:shadow="0" w:frame="0" w:color="000000"/>
                    <w:right w:val="none" w:sz="0" w:space="0" w:shadow="0" w:frame="0" w:color="000000"/>
                  </w:tcBorders>
                  <w:tcMar>
                    <w:top w:w="15" w:type="dxa"/>
                    <w:left w:w="15" w:type="dxa"/>
                    <w:bottom w:w="15" w:type="dxa"/>
                    <w:right w:w="15" w:type="dxa"/>
                  </w:tcMar>
                  <w:vAlign w:val="center"/>
                </w:tcPr>
                <w:p>
                  <w:r>
                    <w:t>порядок повідомлення власників облігацій про здійснення викупу облігацій</w:t>
                  </w:r>
                </w:p>
              </w:tc>
              <w:tc>
                <w:tcPr>
                  <w:tcW w:w="0" w:type="auto"/>
                  <w:tcBorders>
                    <w:top w:val="none" w:sz="0" w:space="0" w:shadow="0" w:frame="0" w:color="000000"/>
                    <w:left w:val="none" w:sz="0" w:space="0" w:shadow="0" w:frame="0" w:color="000000"/>
                    <w:bottom w:val="none" w:sz="0" w:space="0" w:shadow="0" w:frame="0" w:color="000000"/>
                    <w:right w:val="none" w:sz="0" w:space="0" w:shadow="0" w:frame="0" w:color="000000"/>
                  </w:tcBorders>
                  <w:tcMar>
                    <w:top w:w="15" w:type="dxa"/>
                    <w:left w:w="15" w:type="dxa"/>
                    <w:bottom w:w="15" w:type="dxa"/>
                    <w:right w:w="15" w:type="dxa"/>
                  </w:tcMar>
                  <w:vAlign w:val="center"/>
                </w:tcPr>
                <w:p>
                  <w:r>
                    <w:t>Обов’язковий викуп облігацій емітентом не передбачений</w:t>
                  </w:r>
                </w:p>
              </w:tc>
            </w:tr>
            <w:tr>
              <w:tc>
                <w:tcPr>
                  <w:tcW w:w="0" w:type="auto"/>
                  <w:vMerge w:val="continue"/>
                  <w:tcBorders>
                    <w:top w:val="none" w:sz="0" w:space="0" w:shadow="0" w:frame="0" w:color="000000"/>
                    <w:left w:val="none" w:sz="0" w:space="0" w:shadow="0" w:frame="0" w:color="000000"/>
                    <w:bottom w:val="none" w:sz="0" w:space="0" w:shadow="0" w:frame="0" w:color="000000"/>
                    <w:right w:val="none" w:sz="0" w:space="0" w:shadow="0" w:frame="0" w:color="000000"/>
                  </w:tcBorders>
                  <w:tcMar>
                    <w:top w:w="15" w:type="dxa"/>
                    <w:left w:w="15" w:type="dxa"/>
                    <w:bottom w:w="15" w:type="dxa"/>
                    <w:right w:w="15" w:type="dxa"/>
                  </w:tcMar>
                  <w:vAlign w:val="center"/>
                </w:tcPr>
                <w:p/>
              </w:tc>
              <w:tc>
                <w:tcPr>
                  <w:tcW w:w="0" w:type="auto"/>
                  <w:tcBorders>
                    <w:top w:val="none" w:sz="0" w:space="0" w:shadow="0" w:frame="0" w:color="000000"/>
                    <w:left w:val="none" w:sz="0" w:space="0" w:shadow="0" w:frame="0" w:color="000000"/>
                    <w:bottom w:val="none" w:sz="0" w:space="0" w:shadow="0" w:frame="0" w:color="000000"/>
                    <w:right w:val="none" w:sz="0" w:space="0" w:shadow="0" w:frame="0" w:color="000000"/>
                  </w:tcBorders>
                  <w:tcMar>
                    <w:top w:w="15" w:type="dxa"/>
                    <w:left w:w="15" w:type="dxa"/>
                    <w:bottom w:w="15" w:type="dxa"/>
                    <w:right w:w="15" w:type="dxa"/>
                  </w:tcMar>
                  <w:vAlign w:val="center"/>
                </w:tcPr>
                <w:p>
                  <w:r>
                    <w:t>порядок встановлення ціни викупу облігацій</w:t>
                  </w:r>
                </w:p>
              </w:tc>
              <w:tc>
                <w:tcPr>
                  <w:tcW w:w="0" w:type="auto"/>
                  <w:tcBorders>
                    <w:top w:val="none" w:sz="0" w:space="0" w:shadow="0" w:frame="0" w:color="000000"/>
                    <w:left w:val="none" w:sz="0" w:space="0" w:shadow="0" w:frame="0" w:color="000000"/>
                    <w:bottom w:val="none" w:sz="0" w:space="0" w:shadow="0" w:frame="0" w:color="000000"/>
                    <w:right w:val="none" w:sz="0" w:space="0" w:shadow="0" w:frame="0" w:color="000000"/>
                  </w:tcBorders>
                  <w:tcMar>
                    <w:top w:w="15" w:type="dxa"/>
                    <w:left w:w="15" w:type="dxa"/>
                    <w:bottom w:w="15" w:type="dxa"/>
                    <w:right w:w="15" w:type="dxa"/>
                  </w:tcMar>
                  <w:vAlign w:val="center"/>
                </w:tcPr>
                <w:p>
                  <w:pPr>
                    <w:spacing w:before="240" w:after="240"/>
                  </w:pPr>
                  <w:r>
                    <w:t>Обов’язковий викуп облігацій емітентом не передбачений. </w:t>
                  </w:r>
                </w:p>
                <w:p>
                  <w:pPr>
                    <w:spacing w:before="240" w:after="240"/>
                  </w:pPr>
                  <w:r>
                    <w:t>За взаємною згодою  окремого власника (власників) облігацій і емітента, емітент має право викупити у такого власника (власників) належні йому облігації в будь-який час протягом строку обігу облігацій за обумовленою сторонами ціною, яка зазначається у відповідному договорі між власником облігацій та емітентом. </w:t>
                  </w:r>
                </w:p>
              </w:tc>
            </w:tr>
            <w:tr>
              <w:tc>
                <w:tcPr>
                  <w:tcW w:w="0" w:type="auto"/>
                  <w:vMerge w:val="continue"/>
                  <w:tcBorders>
                    <w:top w:val="none" w:sz="0" w:space="0" w:shadow="0" w:frame="0" w:color="000000"/>
                    <w:left w:val="none" w:sz="0" w:space="0" w:shadow="0" w:frame="0" w:color="000000"/>
                    <w:bottom w:val="none" w:sz="0" w:space="0" w:shadow="0" w:frame="0" w:color="000000"/>
                    <w:right w:val="none" w:sz="0" w:space="0" w:shadow="0" w:frame="0" w:color="000000"/>
                  </w:tcBorders>
                  <w:tcMar>
                    <w:top w:w="15" w:type="dxa"/>
                    <w:left w:w="15" w:type="dxa"/>
                    <w:bottom w:w="15" w:type="dxa"/>
                    <w:right w:w="15" w:type="dxa"/>
                  </w:tcMar>
                  <w:vAlign w:val="center"/>
                </w:tcPr>
                <w:p/>
              </w:tc>
              <w:tc>
                <w:tcPr>
                  <w:tcW w:w="0" w:type="auto"/>
                  <w:tcBorders>
                    <w:top w:val="none" w:sz="0" w:space="0" w:shadow="0" w:frame="0" w:color="000000"/>
                    <w:left w:val="none" w:sz="0" w:space="0" w:shadow="0" w:frame="0" w:color="000000"/>
                    <w:bottom w:val="none" w:sz="0" w:space="0" w:shadow="0" w:frame="0" w:color="000000"/>
                    <w:right w:val="none" w:sz="0" w:space="0" w:shadow="0" w:frame="0" w:color="000000"/>
                  </w:tcBorders>
                  <w:tcMar>
                    <w:top w:w="15" w:type="dxa"/>
                    <w:left w:w="15" w:type="dxa"/>
                    <w:bottom w:w="15" w:type="dxa"/>
                    <w:right w:w="15" w:type="dxa"/>
                  </w:tcMar>
                  <w:vAlign w:val="center"/>
                </w:tcPr>
                <w:p>
                  <w:r>
                    <w:t>строк, у який облігації можуть бути пред’явлені їх власниками для викупу</w:t>
                  </w:r>
                </w:p>
              </w:tc>
              <w:tc>
                <w:tcPr>
                  <w:tcW w:w="0" w:type="auto"/>
                  <w:tcBorders>
                    <w:top w:val="none" w:sz="0" w:space="0" w:shadow="0" w:frame="0" w:color="000000"/>
                    <w:left w:val="none" w:sz="0" w:space="0" w:shadow="0" w:frame="0" w:color="000000"/>
                    <w:bottom w:val="none" w:sz="0" w:space="0" w:shadow="0" w:frame="0" w:color="000000"/>
                    <w:right w:val="none" w:sz="0" w:space="0" w:shadow="0" w:frame="0" w:color="000000"/>
                  </w:tcBorders>
                  <w:tcMar>
                    <w:top w:w="15" w:type="dxa"/>
                    <w:left w:w="15" w:type="dxa"/>
                    <w:bottom w:w="15" w:type="dxa"/>
                    <w:right w:w="15" w:type="dxa"/>
                  </w:tcMar>
                  <w:vAlign w:val="center"/>
                </w:tcPr>
                <w:p>
                  <w:pPr>
                    <w:spacing w:before="240" w:after="240"/>
                  </w:pPr>
                  <w:r>
                    <w:t>Обов’язковий викуп облігацій емітентом не передбачений.</w:t>
                  </w:r>
                </w:p>
                <w:p>
                  <w:pPr>
                    <w:spacing w:before="240" w:after="240"/>
                  </w:pPr>
                  <w:r>
                    <w:t>У разі здійснення викупу облігацій за взаємною згодою   окремого власника (власників) облігацій і емітента, емітент має право викупити у такого власника (власників) належні йому облігації в будь-який час протягом строку обігу облігацій відповідно до досягнутих з окремим власником (власниками) домовленостей. </w:t>
                  </w:r>
                </w:p>
              </w:tc>
            </w:tr>
          </w:tbl>
          <w:p>
            <w:pPr>
              <w:spacing w:before="240" w:after="240"/>
            </w:pPr>
            <w:r>
              <w:t>».</w:t>
            </w:r>
          </w:p>
          <w:p>
            <w:pPr>
              <w:spacing w:before="240" w:after="240"/>
            </w:pPr>
            <w:r>
              <w:t>1.2. Підпункт 15.2 «заплановані відсотки (або межі, у яких емітент може визначити розмір відсоткового доходу за відсотковими облігаціями), метод розрахунку та порядок виплати відсоткового доходу, порядок оприлюднення інформації про розмір відсоткового доходу за облігаціями» пункту 15 «Порядок виплати відсоткового доходу за облігаціями (у разі прийняття рішення про емісію відсоткових облігацій)» розділу ІІ «Інформація про облігації, щодо яких прийнято рішення про емісію» рішення про емісію іменних, відсоткових, корпоративних звичайних (незабезпечених), ординарних облігацій серії А (у разі неоформлення проспекту облігацій) ТОВАРИСТВА З ОБМЕЖЕНОЮ ВІДПОВІДАЛЬНІСТЮ «ФІНАНСОВА КОМПАНІЯ «CАПЛАЙ ЧЕЙН ФІНАНС» викласти в наступній редакції:</w:t>
            </w:r>
          </w:p>
          <w:p>
            <w:pPr>
              <w:spacing w:before="240" w:after="240"/>
            </w:pPr>
            <w:r>
              <w:t>«</w:t>
            </w:r>
          </w:p>
          <w:tbl>
            <w:tblPr>
              <w:tblW w:w="0" w:type="auto"/>
              <w:tblCellSpacing w:w="15" w:type="dxa"/>
              <w:tblInd w:w="0" w:type="dxa"/>
              <w:tblBorders>
                <w:insideH w:val="none" w:sz="0" w:space="0" w:shadow="0" w:frame="0" w:color="000000"/>
                <w:insideV w:val="none" w:sz="0" w:space="0" w:shadow="0" w:frame="0" w:color="000000"/>
              </w:tblBorders>
              <w:tblLayout w:type="autofit"/>
              <w:tblCellMar>
                <w:top w:w="15" w:type="dxa"/>
                <w:left w:w="15" w:type="dxa"/>
                <w:bottom w:w="15" w:type="dxa"/>
                <w:right w:w="15" w:type="dxa"/>
              </w:tblCellMar>
            </w:tblPr>
            <w:tblGrid/>
            <w:tr>
              <w:tc>
                <w:tcPr>
                  <w:tcW w:w="0" w:type="auto"/>
                  <w:tcBorders>
                    <w:top w:val="none" w:sz="0" w:space="0" w:shadow="0" w:frame="0" w:color="000000"/>
                    <w:left w:val="none" w:sz="0" w:space="0" w:shadow="0" w:frame="0" w:color="000000"/>
                    <w:bottom w:val="none" w:sz="0" w:space="0" w:shadow="0" w:frame="0" w:color="000000"/>
                    <w:right w:val="none" w:sz="0" w:space="0" w:shadow="0" w:frame="0" w:color="000000"/>
                  </w:tcBorders>
                  <w:tcMar>
                    <w:top w:w="15" w:type="dxa"/>
                    <w:left w:w="15" w:type="dxa"/>
                    <w:bottom w:w="15" w:type="dxa"/>
                    <w:right w:w="15" w:type="dxa"/>
                  </w:tcMar>
                  <w:vAlign w:val="center"/>
                </w:tcPr>
                <w:p>
                  <w:r>
                    <w:t>15.2</w:t>
                  </w:r>
                </w:p>
              </w:tc>
              <w:tc>
                <w:tcPr>
                  <w:tcW w:w="0" w:type="auto"/>
                  <w:tcBorders>
                    <w:top w:val="none" w:sz="0" w:space="0" w:shadow="0" w:frame="0" w:color="000000"/>
                    <w:left w:val="none" w:sz="0" w:space="0" w:shadow="0" w:frame="0" w:color="000000"/>
                    <w:bottom w:val="none" w:sz="0" w:space="0" w:shadow="0" w:frame="0" w:color="000000"/>
                    <w:right w:val="none" w:sz="0" w:space="0" w:shadow="0" w:frame="0" w:color="000000"/>
                  </w:tcBorders>
                  <w:tcMar>
                    <w:top w:w="15" w:type="dxa"/>
                    <w:left w:w="15" w:type="dxa"/>
                    <w:bottom w:w="15" w:type="dxa"/>
                    <w:right w:w="15" w:type="dxa"/>
                  </w:tcMar>
                  <w:vAlign w:val="center"/>
                </w:tcPr>
                <w:p>
                  <w:r>
                    <w:t>заплановані відсотки (або межі, у яких емітент може визначити розмір відсоткового доходу за відсотковими облігаціями), метод розрахунку та порядок виплати відсоткового доходу, порядок оприлюднення інформації про розмір відсоткового доходу за облігаціями</w:t>
                  </w:r>
                </w:p>
              </w:tc>
              <w:tc>
                <w:tcPr>
                  <w:tcW w:w="0" w:type="auto"/>
                  <w:tcBorders>
                    <w:top w:val="none" w:sz="0" w:space="0" w:shadow="0" w:frame="0" w:color="000000"/>
                    <w:left w:val="none" w:sz="0" w:space="0" w:shadow="0" w:frame="0" w:color="000000"/>
                    <w:bottom w:val="none" w:sz="0" w:space="0" w:shadow="0" w:frame="0" w:color="000000"/>
                    <w:right w:val="none" w:sz="0" w:space="0" w:shadow="0" w:frame="0" w:color="000000"/>
                  </w:tcBorders>
                  <w:tcMar>
                    <w:top w:w="15" w:type="dxa"/>
                    <w:left w:w="15" w:type="dxa"/>
                    <w:bottom w:w="15" w:type="dxa"/>
                    <w:right w:w="15" w:type="dxa"/>
                  </w:tcMar>
                  <w:vAlign w:val="center"/>
                </w:tcPr>
                <w:p>
                  <w:pPr>
                    <w:spacing w:before="240" w:after="240"/>
                  </w:pPr>
                  <w:r>
                    <w:t>Якщо дати виплати відсоткового доходу за облігаціями припадають на святковий (вихідний) день згідно з чинним законодавством України, виплата відсоткового доходу здійснюється у відповідний термін, починаючи з наступного за святковим (вихідним) робочим днем. Відсотки за облігаціями за вказані святкові (вихідні) дні не нараховуються та не виплачуються.</w:t>
                  </w:r>
                </w:p>
                <w:p>
                  <w:pPr>
                    <w:spacing w:before="240" w:after="240"/>
                  </w:pPr>
                  <w:r>
                    <w:t> </w:t>
                  </w:r>
                </w:p>
                <w:p>
                  <w:pPr>
                    <w:spacing w:before="240" w:after="240"/>
                  </w:pPr>
                  <w:r>
                    <w:t>Виплата відсоткового доходу за облігаціями здійснюється одноразово на підставі даних реєстру власників облігацій, складеного Центральним депозитарієм станом на 24 годину операційного дня, що передує дню початку виплати відсоткового доходу за облігаціями (далі – Реєстр).</w:t>
                  </w:r>
                </w:p>
                <w:p>
                  <w:pPr>
                    <w:spacing w:before="240" w:after="240"/>
                  </w:pPr>
                  <w:r>
                    <w:t> </w:t>
                  </w:r>
                </w:p>
                <w:p>
                  <w:pPr>
                    <w:spacing w:before="240" w:after="240"/>
                  </w:pPr>
                  <w:r>
                    <w:t>У разі відсутності у Реєстрі даних щодо реквізитів, по яким повинна бути проведена виплата відсоткового доходу, належна сума депонується до особистого звернення власника. На депоновані кошти відсотки не нараховуються та не виплачуються.</w:t>
                  </w:r>
                </w:p>
                <w:p>
                  <w:pPr>
                    <w:spacing w:before="240" w:after="240"/>
                  </w:pPr>
                  <w:r>
                    <w:t> </w:t>
                  </w:r>
                </w:p>
                <w:p>
                  <w:pPr>
                    <w:spacing w:before="240" w:after="240"/>
                  </w:pPr>
                  <w:r>
                    <w:t>Сума відсоткового доходу, що підлягає виплаті за облігаціями розраховується за формулою:</w:t>
                  </w:r>
                </w:p>
                <w:p>
                  <w:pPr>
                    <w:spacing w:before="240" w:after="240"/>
                  </w:pPr>
                  <w:r>
                    <w:t>Рі = N * (Ri / 100%) * (Ті/ 365), де </w:t>
                  </w:r>
                </w:p>
                <w:p>
                  <w:pPr>
                    <w:spacing w:before="240" w:after="240"/>
                  </w:pPr>
                  <w:r>
                    <w:t>Рi – сума відсоткового доходу за i-й період, що підлягає сплаті; </w:t>
                  </w:r>
                </w:p>
                <w:p>
                  <w:pPr>
                    <w:spacing w:before="240" w:after="240"/>
                  </w:pPr>
                  <w:r>
                    <w:t>N –– номінальна вартість облігації серії А;  </w:t>
                  </w:r>
                </w:p>
                <w:p>
                  <w:pPr>
                    <w:spacing w:before="240" w:after="240"/>
                  </w:pPr>
                  <w:r>
                    <w:t>Ri – ставка доходності (в відсотках) в періоді, за який здійснюється виплата відсотків;</w:t>
                  </w:r>
                </w:p>
                <w:p>
                  <w:pPr>
                    <w:spacing w:before="240" w:after="240"/>
                  </w:pPr>
                  <w:r>
                    <w:t>Ті – кількість днів відповідного відсоткового періоду, за який здійснюється виплата відсотків. Для 1 (першого) відсоткового періоду – кількість днів з дня повної оплати придбаних облігацій власником до дати закінчення відповідного відсоткового періоду.</w:t>
                  </w:r>
                </w:p>
                <w:p>
                  <w:pPr>
                    <w:spacing w:before="240" w:after="240"/>
                  </w:pPr>
                  <w:r>
                    <w:t> </w:t>
                  </w:r>
                </w:p>
                <w:p>
                  <w:pPr>
                    <w:spacing w:before="240" w:after="240"/>
                  </w:pPr>
                  <w:r>
                    <w:t>Сума відсоткового доходу по кожній облігації має бути округлена до однієї копійки за методом арифметичного округлення. Сума виплат відсоткового доходу встановлюється з розрахунку на одну облігацію.</w:t>
                  </w:r>
                </w:p>
                <w:p>
                  <w:pPr>
                    <w:spacing w:before="240" w:after="240"/>
                  </w:pPr>
                  <w:r>
                    <w:t> </w:t>
                  </w:r>
                </w:p>
                <w:p>
                  <w:pPr>
                    <w:spacing w:before="240" w:after="240"/>
                  </w:pPr>
                  <w:r>
                    <w:t>Відсоткова ставка на 1 – 10 відсоткові періоди встановлюється в розмірі 25% (двадцять п’ять відсотків) річних.</w:t>
                  </w:r>
                </w:p>
              </w:tc>
            </w:tr>
          </w:tbl>
          <w:p/>
          <w:p>
            <w:pPr>
              <w:rPr>
                <w:rFonts w:ascii="Times New Roman" w:hAnsi="Times New Roman"/>
                <w:sz w:val="24"/>
                <w:lang w:val="en-US"/>
              </w:rPr>
            </w:pPr>
          </w:p>
        </w:tc>
      </w:tr>
      <w:tr>
        <w:tc>
          <w:tcPr>
            <w:tcW w:w="9629" w:type="dxa"/>
          </w:tcPr>
          <w:p>
            <w:pPr>
              <w:rPr>
                <w:rFonts w:ascii="Times New Roman" w:hAnsi="Times New Roman"/>
                <w:sz w:val="24"/>
                <w:lang w:val="ru-RU"/>
              </w:rPr>
            </w:pPr>
            <w:r>
              <w:rPr>
                <w:rFonts w:ascii="Times New Roman" w:hAnsi="Times New Roman"/>
                <w:sz w:val="24"/>
              </w:rPr>
              <w:tab/>
              <w:t>Результати голосування</w:t>
            </w:r>
            <w:r>
              <w:rPr>
                <w:rFonts w:ascii="Times New Roman" w:hAnsi="Times New Roman"/>
                <w:sz w:val="24"/>
                <w:lang w:val="ru-RU"/>
              </w:rPr>
              <w:t xml:space="preserve"> за</w:t>
            </w:r>
            <w:r>
              <w:t xml:space="preserve"> </w:t>
            </w:r>
            <w:r>
              <w:rPr>
                <w:rFonts w:ascii="Times New Roman" w:hAnsi="Times New Roman"/>
                <w:sz w:val="24"/>
                <w:lang w:val="ru-RU"/>
              </w:rPr>
              <w:t xml:space="preserve">випуском </w:t>
            </w:r>
            <w:r>
              <w:rPr>
                <w:rFonts w:ascii="Times New Roman" w:hAnsi="Times New Roman"/>
                <w:sz w:val="24"/>
                <w:lang w:val="ru-RU"/>
              </w:rPr>
              <w:t>UA5000011594</w:t>
            </w:r>
          </w:p>
          <w:p>
            <w:pPr>
              <w:rPr>
                <w:rFonts w:ascii="Times New Roman" w:hAnsi="Times New Roman"/>
                <w:sz w:val="24"/>
              </w:rPr>
            </w:pPr>
            <w:r>
              <w:rPr>
                <w:rFonts w:ascii="Times New Roman" w:hAnsi="Times New Roman"/>
                <w:sz w:val="24"/>
              </w:rPr>
              <w:tab/>
              <w:t xml:space="preserve">Кількість голосів «ЗА»: </w:t>
            </w:r>
            <w:r>
              <w:rPr>
                <w:rFonts w:ascii="Times New Roman" w:hAnsi="Times New Roman"/>
                <w:sz w:val="24"/>
              </w:rPr>
              <w:t>48 000 000</w:t>
            </w:r>
            <w:r>
              <w:rPr>
                <w:rFonts w:ascii="Times New Roman" w:hAnsi="Times New Roman"/>
                <w:sz w:val="24"/>
              </w:rPr>
              <w:t xml:space="preserve">, що складає </w:t>
            </w:r>
            <w:r>
              <w:rPr>
                <w:rFonts w:ascii="Times New Roman" w:hAnsi="Times New Roman"/>
                <w:sz w:val="24"/>
              </w:rPr>
              <w:t>100,00</w:t>
            </w:r>
            <w:r>
              <w:rPr>
                <w:rFonts w:ascii="Times New Roman" w:hAnsi="Times New Roman"/>
                <w:sz w:val="24"/>
              </w:rPr>
              <w:t>%;</w:t>
            </w:r>
          </w:p>
          <w:p>
            <w:pPr>
              <w:rPr>
                <w:rFonts w:ascii="Times New Roman" w:hAnsi="Times New Roman"/>
                <w:sz w:val="24"/>
              </w:rPr>
            </w:pPr>
            <w:r>
              <w:rPr>
                <w:rFonts w:ascii="Times New Roman" w:hAnsi="Times New Roman"/>
                <w:sz w:val="24"/>
              </w:rPr>
              <w:tab/>
              <w:t xml:space="preserve">Кількість голосів «ПРОТИ»: </w:t>
            </w:r>
            <w:r>
              <w:rPr>
                <w:rFonts w:ascii="Times New Roman" w:hAnsi="Times New Roman"/>
                <w:sz w:val="24"/>
              </w:rPr>
              <w:t>0</w:t>
            </w:r>
            <w:r>
              <w:rPr>
                <w:rFonts w:ascii="Times New Roman" w:hAnsi="Times New Roman"/>
                <w:sz w:val="24"/>
              </w:rPr>
              <w:t xml:space="preserve">, що складає </w:t>
            </w:r>
            <w:r>
              <w:rPr>
                <w:rFonts w:ascii="Times New Roman" w:hAnsi="Times New Roman"/>
                <w:sz w:val="24"/>
              </w:rPr>
              <w:t>0,00</w:t>
            </w:r>
            <w:r>
              <w:rPr>
                <w:rFonts w:ascii="Times New Roman" w:hAnsi="Times New Roman"/>
                <w:sz w:val="24"/>
              </w:rPr>
              <w:t>%;</w:t>
            </w:r>
          </w:p>
          <w:p>
            <w:pPr>
              <w:rPr>
                <w:rFonts w:ascii="Times New Roman" w:hAnsi="Times New Roman"/>
                <w:sz w:val="24"/>
              </w:rPr>
            </w:pPr>
            <w:r>
              <w:rPr>
                <w:rFonts w:ascii="Times New Roman" w:hAnsi="Times New Roman"/>
                <w:sz w:val="24"/>
              </w:rPr>
              <w:tab/>
              <w:t xml:space="preserve">Кількість голосів власників, що зареєструвалися, але не направили голоси: </w:t>
            </w:r>
            <w:r>
              <w:rPr>
                <w:rFonts w:ascii="Times New Roman" w:hAnsi="Times New Roman"/>
                <w:sz w:val="24"/>
                <w:lang w:val="ru-RU"/>
              </w:rPr>
              <w:t>0</w:t>
            </w:r>
            <w:r>
              <w:rPr>
                <w:rFonts w:ascii="Times New Roman" w:hAnsi="Times New Roman"/>
                <w:sz w:val="24"/>
              </w:rPr>
              <w:t>.</w:t>
            </w:r>
          </w:p>
          <w:p>
            <w:pPr>
              <w:spacing w:before="240" w:after="240"/>
            </w:pPr>
            <w:r>
              <w:rPr>
                <w:rFonts w:ascii="Times New Roman" w:hAnsi="Times New Roman"/>
                <w:sz w:val="24"/>
              </w:rPr>
              <w:tab/>
              <w:t xml:space="preserve">Результат: </w:t>
            </w:r>
            <w:r>
              <w:rPr>
                <w:rFonts w:ascii="Times New Roman" w:hAnsi="Times New Roman"/>
                <w:sz w:val="24"/>
                <w:lang w:val="en-US"/>
              </w:rPr>
              <w:t>Прийнято</w:t>
            </w:r>
          </w:p>
        </w:tc>
      </w:tr>
    </w:tbl>
    <w:p>
      <w:pPr>
        <w:spacing w:after="0" w:beforeAutospacing="0" w:afterAutospacing="0"/>
        <w:rPr>
          <w:rFonts w:ascii="Times New Roman" w:hAnsi="Times New Roman"/>
          <w:sz w:val="24"/>
          <w:lang w:val="en-US"/>
        </w:rPr>
      </w:pPr>
    </w:p>
    <w:tbl>
      <w:tblPr>
        <w:tblStyle w:val="T2"/>
        <w:tblW w:w="9634" w:type="dxa"/>
        <w:tblBorders>
          <w:top w:val="nil" w:sz="0" w:space="0" w:shadow="0" w:frame="0" w:color="000000"/>
          <w:left w:val="nil" w:sz="0" w:space="0" w:shadow="0" w:frame="0" w:color="000000"/>
          <w:bottom w:val="nil" w:sz="0" w:space="0" w:shadow="0" w:frame="0" w:color="000000"/>
          <w:right w:val="nil" w:sz="0" w:space="0" w:shadow="0" w:frame="0" w:color="000000"/>
          <w:insideH w:val="nil" w:sz="0" w:space="0" w:shadow="0" w:frame="0" w:color="000000"/>
          <w:insideV w:val="nil" w:sz="0" w:space="0" w:shadow="0" w:frame="0" w:color="000000"/>
        </w:tblBorders>
        <w:tblLayout w:type="autofit"/>
        <w:tblLook w:val="04A0"/>
      </w:tblPr>
      <w:tblGrid/>
      <w:tr>
        <w:tc>
          <w:tcPr>
            <w:tcW w:w="9634" w:type="dxa"/>
          </w:tcPr>
          <w:p>
            <w:pPr>
              <w:rPr>
                <w:rFonts w:ascii="Times New Roman" w:hAnsi="Times New Roman"/>
                <w:sz w:val="24"/>
                <w:lang w:val="en-US"/>
              </w:rPr>
            </w:pPr>
            <w:r>
              <w:rPr>
                <w:rFonts w:ascii="Times New Roman" w:hAnsi="Times New Roman"/>
                <w:sz w:val="24"/>
                <w:lang w:val="en-US"/>
              </w:rPr>
              <w:t>РІШЕННЯ ПРИЙНЯТО</w:t>
            </w:r>
          </w:p>
        </w:tc>
      </w:tr>
    </w:tbl>
    <w:p>
      <w:pPr>
        <w:spacing w:after="0" w:beforeAutospacing="0" w:afterAutospacing="0"/>
        <w:rPr>
          <w:rFonts w:ascii="Times New Roman" w:hAnsi="Times New Roman"/>
          <w:sz w:val="24"/>
        </w:rPr>
      </w:pPr>
    </w:p>
    <w:p>
      <w:pPr>
        <w:spacing w:after="0" w:beforeAutospacing="0" w:afterAutospacing="0"/>
        <w:rPr>
          <w:rFonts w:ascii="Times New Roman" w:hAnsi="Times New Roman"/>
          <w:sz w:val="24"/>
        </w:rPr>
      </w:pPr>
    </w:p>
    <w:p>
      <w:pPr>
        <w:spacing w:after="0" w:beforeAutospacing="0" w:afterAutospacing="0"/>
        <w:rPr>
          <w:rFonts w:ascii="Times New Roman" w:hAnsi="Times New Roman"/>
          <w:sz w:val="24"/>
        </w:rPr>
      </w:pPr>
      <w:r>
        <w:rPr>
          <w:rFonts w:ascii="Times New Roman" w:hAnsi="Times New Roman"/>
          <w:sz w:val="24"/>
          <w:lang w:val="ru-RU"/>
        </w:rPr>
        <w:t>Г</w:t>
      </w:r>
      <w:r>
        <w:rPr>
          <w:rFonts w:ascii="Times New Roman" w:hAnsi="Times New Roman"/>
          <w:sz w:val="24"/>
        </w:rPr>
        <w:t>олосування проводилось з усіх питань порядку денного.</w:t>
      </w:r>
    </w:p>
    <w:p>
      <w:pPr>
        <w:spacing w:after="0" w:beforeAutospacing="0" w:afterAutospacing="0"/>
        <w:rPr>
          <w:rFonts w:ascii="Times New Roman" w:hAnsi="Times New Roman"/>
          <w:sz w:val="24"/>
        </w:rPr>
      </w:pPr>
    </w:p>
    <w:p>
      <w:pPr>
        <w:spacing w:after="0" w:beforeAutospacing="0" w:afterAutospacing="0"/>
        <w:rPr>
          <w:rFonts w:ascii="Times New Roman" w:hAnsi="Times New Roman"/>
          <w:sz w:val="24"/>
        </w:rPr>
      </w:pPr>
      <w:r>
        <w:rPr>
          <w:rFonts w:ascii="Times New Roman" w:hAnsi="Times New Roman"/>
          <w:sz w:val="24"/>
        </w:rPr>
        <w:t>Документ підписано кваліфікованим електронним підписом уповноваженої особи ПАТ «НДУ».</w:t>
      </w:r>
    </w:p>
    <w:p>
      <w:pPr>
        <w:spacing w:after="0" w:beforeAutospacing="0" w:afterAutospacing="0"/>
        <w:rPr>
          <w:rFonts w:ascii="Times New Roman" w:hAnsi="Times New Roman"/>
          <w:sz w:val="24"/>
        </w:rPr>
      </w:pPr>
    </w:p>
    <w:p>
      <w:pPr>
        <w:spacing w:after="0" w:beforeAutospacing="0" w:afterAutospacing="0"/>
        <w:rPr>
          <w:rFonts w:ascii="Times New Roman" w:hAnsi="Times New Roman"/>
          <w:sz w:val="24"/>
        </w:rPr>
      </w:pPr>
    </w:p>
    <w:p>
      <w:pPr>
        <w:spacing w:after="0" w:beforeAutospacing="0" w:afterAutospacing="0"/>
        <w:rPr>
          <w:rFonts w:ascii="Times New Roman" w:hAnsi="Times New Roman"/>
          <w:sz w:val="24"/>
        </w:rPr>
      </w:pPr>
    </w:p>
    <w:p>
      <w:pPr>
        <w:spacing w:after="0" w:beforeAutospacing="0" w:afterAutospacing="0"/>
        <w:rPr>
          <w:rFonts w:ascii="Times New Roman" w:hAnsi="Times New Roman"/>
          <w:sz w:val="24"/>
        </w:rPr>
      </w:pPr>
    </w:p>
    <w:sectPr>
      <w:type w:val="nextPage"/>
      <w:pgSz w:w="11906" w:h="16838" w:code="0"/>
      <w:pgMar w:left="1417" w:right="850" w:top="850" w:bottom="85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08"/>
  <w:autoHyphenation w:val="0"/>
  <w:evenAndOddHeaders w:val="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val="uk-UA" w:bidi="ar-SA" w:eastAsia="en-US"/>
      </w:rPr>
    </w:rPrDefault>
    <w:pPrDefault>
      <w:pPr>
        <w:keepNext w:val="0"/>
        <w:keepLines w:val="0"/>
        <w:widowControl w:val="1"/>
        <w:suppressLineNumbers w:val="0"/>
        <w:shd w:val="clear" w:fill="auto"/>
        <w:suppressAutoHyphens w:val="0"/>
        <w:spacing w:lineRule="auto" w:line="259" w:before="0" w:after="160" w:beforeAutospacing="0" w:afterAutospacing="0"/>
        <w:ind w:firstLine="0" w:left="0" w:right="0"/>
        <w:contextualSpacing w:val="0"/>
        <w:jc w:val="left"/>
      </w:pPr>
    </w:pPrDefault>
  </w:docDefaults>
  <w:style w:type="paragraph" w:styleId="P0" w:default="1">
    <w:name w:val="Normal"/>
    <w:qFormat/>
    <w:pPr>
      <w:jc w:val="left"/>
    </w:pPr>
    <w:rPr/>
  </w:style>
  <w:style w:type="paragraph" w:styleId="P1">
    <w:name w:val="heading 1"/>
    <w:basedOn w:val="P0"/>
    <w:next w:val="P0"/>
    <w:link w:val="C7"/>
    <w:qFormat/>
    <w:pPr>
      <w:keepNext w:val="1"/>
      <w:keepLines w:val="1"/>
      <w:spacing w:before="240" w:after="0" w:beforeAutospacing="0" w:afterAutospacing="0"/>
      <w:outlineLvl w:val="0"/>
    </w:pPr>
    <w:rPr>
      <w:color w:val="2E75B5" w:themeColor="accent1" w:themeShade="BF"/>
      <w:sz w:val="32"/>
    </w:rPr>
  </w:style>
  <w:style w:type="paragraph" w:styleId="P2">
    <w:name w:val="annotation text"/>
    <w:basedOn w:val="P0"/>
    <w:link w:val="C4"/>
    <w:semiHidden/>
    <w:pPr>
      <w:spacing w:lineRule="auto" w:line="240" w:beforeAutospacing="0" w:afterAutospacing="0"/>
    </w:pPr>
    <w:rPr>
      <w:sz w:val="20"/>
    </w:rPr>
  </w:style>
  <w:style w:type="paragraph" w:styleId="P3">
    <w:name w:val="annotation subject"/>
    <w:basedOn w:val="P2"/>
    <w:next w:val="P2"/>
    <w:link w:val="C5"/>
    <w:semiHidden/>
    <w:pPr/>
    <w:rPr>
      <w:b w:val="1"/>
    </w:rPr>
  </w:style>
  <w:style w:type="paragraph" w:styleId="P4">
    <w:name w:val="Balloon Text"/>
    <w:basedOn w:val="P0"/>
    <w:link w:val="C6"/>
    <w:semiHidden/>
    <w:pPr>
      <w:spacing w:lineRule="auto" w:line="240" w:after="0" w:beforeAutospacing="0" w:afterAutospacing="0"/>
    </w:pPr>
    <w:rPr>
      <w:rFonts w:ascii="Segoe UI" w:hAnsi="Segoe UI"/>
      <w:sz w:val="18"/>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annotation reference"/>
    <w:basedOn w:val="C0"/>
    <w:semiHidden/>
    <w:rPr>
      <w:sz w:val="16"/>
    </w:rPr>
  </w:style>
  <w:style w:type="character" w:styleId="C4">
    <w:name w:val="Текст примечания Знак"/>
    <w:basedOn w:val="C0"/>
    <w:link w:val="P2"/>
    <w:semiHidden/>
    <w:rPr>
      <w:sz w:val="20"/>
    </w:rPr>
  </w:style>
  <w:style w:type="character" w:styleId="C5">
    <w:name w:val="Тема примечания Знак"/>
    <w:basedOn w:val="C4"/>
    <w:link w:val="P3"/>
    <w:semiHidden/>
    <w:rPr>
      <w:b w:val="1"/>
    </w:rPr>
  </w:style>
  <w:style w:type="character" w:styleId="C6">
    <w:name w:val="Текст выноски Знак"/>
    <w:basedOn w:val="C0"/>
    <w:link w:val="P4"/>
    <w:semiHidden/>
    <w:rPr>
      <w:rFonts w:ascii="Segoe UI" w:hAnsi="Segoe UI"/>
      <w:sz w:val="18"/>
    </w:rPr>
  </w:style>
  <w:style w:type="character" w:styleId="C7">
    <w:name w:val="Заголовок 1 Знак"/>
    <w:basedOn w:val="C0"/>
    <w:link w:val="P1"/>
    <w:rPr>
      <w:color w:val="2E75B5" w:themeColor="accent1" w:themeShade="BF"/>
      <w:sz w:val="32"/>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Grid"/>
    <w:basedOn w:val="T0"/>
    <w:pPr>
      <w:spacing w:lineRule="auto" w:line="240" w:after="0" w:beforeAutospacing="0" w:afterAutospacing="0"/>
    </w:pPr>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Pr>
    <w:trPr/>
    <w:tcPr/>
  </w:style>
  <w:style w:type="numbering" w:styleId="N0">
    <w:name w:val="No List"/>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a:dk1>
      <a:lt1>
        <a:sysClr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Panchugin Dmytro</dc:creator>
  <dcterms:created xsi:type="dcterms:W3CDTF">2021-01-18T09:49:00Z</dcterms:created>
  <cp:lastModifiedBy>NT AUTHORITY\LOCAL SERVICE</cp:lastModifiedBy>
  <dcterms:modified xsi:type="dcterms:W3CDTF">2024-09-11T12:00:16Z</dcterms:modified>
  <cp:revision>173</cp:revision>
</cp:coreProperties>
</file>